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2001-2657 351 vom 31. August 1994</w:t>
      </w:r>
    </w:p>
    <w:p>
      <w:r>
        <w:t>Bundesverwaltung, 1994-08-31, DE</w:t>
      </w:r>
    </w:p>
    <w:p>
      <w:r>
        <w:rPr>
          <w:b/>
        </w:rPr>
        <w:t xml:space="preserve">Quelle: </w:t>
      </w:r>
      <w:r>
        <w:t>https://mcp.opencaselaw.ch/entscheid/ch_vb_2001-2657_351</w:t>
      </w:r>
    </w:p>
    <w:p>
      <w:r>
        <w:t>FR: CH_VB 2001-2657 351 du 31 août 1994</w:t>
      </w:r>
    </w:p>
    <w:p>
      <w:r>
        <w:t>IT: CH_VB 2001-2657 351 del 31 agosto 1994</w:t>
      </w:r>
    </w:p>
    <w:p>
      <w:pPr>
        <w:pStyle w:val="Heading2"/>
      </w:pPr>
      <w:r>
        <w:t>Erwägungen</w:t>
      </w:r>
    </w:p>
    <w:p>
      <w:r>
        <w:rPr>
          <w:b/>
        </w:rPr>
        <w:t>E. 28</w:t>
      </w:r>
    </w:p>
    <w:p>
      <w:r>
        <w:t>Région Lucerne Diffuseur: 1 Zone A: District de Lucerne; région Emmenbrücke-Sursee; canton de Zoug; cuvette de Schwyz; districts de Küssnacht a. R., Gersau; tronçons Brunnen – Altdorf, Horw – Hergiswil – Sarnen – Col du Brünig, Hergiswil – Stans – Engelberg, Stans – Beckenried – Altdorf, Stans – Sarnen Zone B: Restes des cantons de Nidwald et d’Obwald; reste du canton de Lucerne</w:t>
      </w:r>
    </w:p>
    <w:p>
      <w:r>
        <w:rPr>
          <w:b/>
        </w:rPr>
        <w:t>E. 29</w:t>
      </w:r>
    </w:p>
    <w:p>
      <w:r>
        <w:t>Région Ville de Lucerne Diffuseur: 1 Zone A: Ville et agglomération de Lucerne Zone B: –</w:t>
      </w:r>
    </w:p>
    <w:p>
      <w:r>
        <w:rPr>
          <w:b/>
        </w:rPr>
        <w:t>E. 30</w:t>
      </w:r>
    </w:p>
    <w:p>
      <w:r>
        <w:t>Région Zoug Diffuseur: 1 Zone A: District de Lucerne; région Emmenbrücke-Sursee; district de Hochdorf; district d’ Affoltern; canton de Zoug; cuvette de Schwyz; districts de Küssnacht a. R., Gersau, Einsiedeln; tronçons Brunnen – Altdorf, Horw – Hergiswil – Sarnen – Giswil, Hergiswil – Stans – Wolfenschiessen, Stans – Beckenried – Altdorf, Stans – Sarnen Zone B: District de Muri; tronçons Sihlbrugg – Adliswil, Reiden – Sursee; reste du district de Sursee, reste du district de Schwyz</w:t>
      </w:r>
    </w:p>
    <w:p>
      <w:r>
        <w:t>1 FF 1994 III 1574, 1996 II 973</w:t>
      </w:r>
    </w:p>
    <w:p>
      <w:r>
        <w:t>Directives sur la planification des réseaux des émetteurs OUC 352</w:t>
      </w:r>
    </w:p>
    <w:p>
      <w:r>
        <w:rPr>
          <w:b/>
        </w:rPr>
        <w:t>E. 31</w:t>
      </w:r>
    </w:p>
    <w:p>
      <w:r>
        <w:t>Région Uri – Schwyz – Glarus Diffuseur: 1 Zone A: District de Lucerne; cantons de Zoug et de Schwyz; tronçons Brunnen – Altdorf, Horw – Hergiswil – Sarnen – Giswil, Hergiswil – Stans – Wolfenschiessen, Stans – Beckenried – Altdorf, Stans – Sarnen, Ziegelbrücke – Schwanden, Altdorf – Gotthard, Schwanden Linthtal, Schwanden – Elm, Glarus Zone B: Restes des cantons de Nidwald et d’Obwald; reste du canton de Lucerne II La présente modification entre en vigueur le 19 décembre 2001. 19 décembre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Directives sur la planification des réseaux des émetteurs OUC In Bundesblatt Dans Feuille fédérale In Foglio federale Jahr 2002 Année Anno Band 1 Volume Volume Heft 02 Cahier Numero Geschäftsnummer --- Numéro d'affaire Numero dell'oggetto Datum 15.01.2002 Date Data Seite 351-352 Page Pagina Ref. No 10 125 928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