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2001-2557 5809 vom 23. Juni 1999</w:t>
      </w:r>
    </w:p>
    <w:p>
      <w:r>
        <w:t>Bundesverwaltung, 1999-06-23, DE</w:t>
      </w:r>
    </w:p>
    <w:p>
      <w:r>
        <w:rPr>
          <w:b/>
        </w:rPr>
        <w:t xml:space="preserve">Quelle: </w:t>
      </w:r>
      <w:r>
        <w:t>https://mcp.opencaselaw.ch/entscheid/ch_vb_2001-2557_5809</w:t>
      </w:r>
    </w:p>
    <w:p>
      <w:r>
        <w:t>FR: CH_VB 2001-2557 5809 du 23 juin 1999</w:t>
      </w:r>
    </w:p>
    <w:p>
      <w:r>
        <w:t>IT: CH_VB 2001-2557 5809 del 23 giugno 1999</w:t>
      </w:r>
    </w:p>
    <w:p>
      <w:pPr>
        <w:pStyle w:val="Heading2"/>
      </w:pPr>
      <w:r>
        <w:t>Erwägungen</w:t>
      </w:r>
    </w:p>
    <w:p>
      <w:r>
        <w:rPr>
          <w:b/>
        </w:rPr>
        <w:t>E. 1</w:t>
      </w:r>
    </w:p>
    <w:p>
      <w:r>
        <w:t>Caractéristiques du produit (pour tous les produits mentionnés) Substance(s) active(s): Linuron 50% Formulation: WP</w:t>
      </w:r>
    </w:p>
    <w:p>
      <w:r>
        <w:rPr>
          <w:b/>
        </w:rPr>
        <w:t>E. 2</w:t>
      </w:r>
    </w:p>
    <w:p>
      <w:r>
        <w:t>Produits commerciaux Calin Numéro d’homologation suisse: F-3504 pays d’origine: France numéro d’homologation étranger: 86 00431 distributeur: Calliope S.A., route d’Artix, B.P.80, F-64150 Noguères Linurac Numéro d’homologation suisse: F-3505 pays d’origine: France numéro d’homologation étranger: 80 00607 distributeur: Agriphyt S.A., 17, rue des Glacis, F-59300 Valenciennes Linural 50 Numéro d’homologation suisse: F-3506 pays d’origine: France numéro d’homologation étranger: 85 00244 distributeur: Tradi-Agri, 38, avenue Hoche, F-75008 Paris CEDEX 09 ML 50 Numéro d’homologation suisse: A-2512 pays d’origine: Autriche numéro d’homologation étranger: 1151/0 distributeur: Afaplant, St.Peter Hauptstrasse 40, A-8042 Graz</w:t>
      </w:r>
    </w:p>
    <w:p>
      <w:r>
        <w:t>1 RS 916.161</w:t>
      </w:r>
    </w:p>
    <w:p>
      <w:r>
        <w:t>Décision de portée générale – produits phytosanitaires 5810 Applications autorisées: Domaine d’application Maladie / effets Mode d’application Charges et remarques Viticulture toutes les cultures dicotylédones annuelles Dosage: 5 kg/ha Application: dès la quatrième année de culture 1 Culture maraîchère Carotte, céleri-pomme dicotylédones Dosage: 2–3 kg/ha Application: de la levée jusqu’aux stades 2-4-6 feuilles des adventices 1 Fenouil dicotylédones annuelles, monocotylédones vivaces Dosage: 1.6 kg/ha Application: 2 x 0.8 kg/ha 2,3 Oignon bulbille dicotylédones Dosage: 2–3 kg/ha Application: après la plantation, avant la levée des mauvaises herbes 1 Poireau planté dicotylédones Dosage: 1.5 kg/ha Application: 10–14 jours après la plantation 1 Grande culture Blé d’automne, épeautre, orge d’automne, seigle d’automne, triticale dicotylédones annuelles Dosage: 1.1 kg/ha Application: pré-levée 1,4 Pomme de terre dicotylédones annuelles Dosage: 1.5–2 kg/ha Application: peu avant la levée 1 Culture ornementale Glaïeul, jacinthe, tulipe dicotylédones annuelles Dosage: 15 g/a Application: sols légers Dosage: 20 g/a Application: sols lourds Toxique poissons 1</w:t>
      </w:r>
    </w:p>
    <w:p>
      <w:r>
        <w:rPr>
          <w:b/>
        </w:rPr>
        <w:t>E. 4</w:t>
      </w:r>
    </w:p>
    <w:p>
      <w:r>
        <w:t>Respecter scrupuleusement les prescriptions d’utilisation. Application fractionnée (le dosage indiqué correspond à la quantité totale autorisée). L’utilisateur doit être informé du risque de dégât sur les fenouils semés ou les cultures faibles. En mélange dans la cuve avec 2.5 l de Trifluralin. Stockage et élimination Le produit doit être conservé dans l’emballage original, à l’écart des denrées alimentaires, des aliments pour animaux et des médicaments, de façon à ne pas être accessible aux personnes non autorisées.</w:t>
      </w:r>
    </w:p>
    <w:p>
      <w:r>
        <w:t>Décision de portée générale – produits phytosanitaires 5811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 clusions, motifs et moyens de preuve et porte la signature du recourant ou de son re- présentant; y seront jointes la décision attaquée et les pièces invoquées comme moyens de preuve, lorsqu’elles sont disponibles. 27 novembre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47 Cahier Numero Geschäftsnummer --- Numéro d'affaire Numero dell'oggetto Datum 27.11.2001 Date Data Seite 5809-5811 Page Pagina Ref. No 10 125 818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