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2001-1894 905 vom 12. Februar 2002</w:t>
      </w:r>
    </w:p>
    <w:p>
      <w:r>
        <w:t>Bundesverwaltung, 2002-02-12, DE</w:t>
      </w:r>
    </w:p>
    <w:p>
      <w:r>
        <w:rPr>
          <w:b/>
        </w:rPr>
        <w:t xml:space="preserve">Quelle: </w:t>
      </w:r>
      <w:r>
        <w:t>https://mcp.opencaselaw.ch/entscheid/ch_vb_2001-1894_905</w:t>
      </w:r>
    </w:p>
    <w:p>
      <w:r>
        <w:t>FR: CH_VB 2001-1894 905 du 12 février 2002</w:t>
      </w:r>
    </w:p>
    <w:p>
      <w:r>
        <w:t>IT: CH_VB 2001-1894 905 del 12 febbraio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101</w:t>
      </w:r>
    </w:p>
    <w:p>
      <w:r>
        <w:rPr>
          <w:b/>
        </w:rPr>
        <w:t>E. 2</w:t>
      </w:r>
    </w:p>
    <w:p>
      <w:r>
        <w:t>FF 2002 884</w:t>
      </w:r>
    </w:p>
    <w:p>
      <w:r>
        <w:t>Schweizerisches Bundesarchiv, Digitale Amtsdruckschriften Archives fédérales suisses, Publications officielles numérisées Archivio federale svizzero, Pubblicazioni ufficiali digitali Arrêté fédéral renouvelant le crédit-cadre pour cautionnement visant à assurer un nombre suffi-sant de navires de haute mer battant pavillon suisse In Bundesblatt Dans Feuille fédérale In Foglio federale Jahr 2002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12.02.2002 Date Data Seite 905-905 Page Pagina Ref. No</w:t>
      </w:r>
    </w:p>
    <w:p>
      <w:r>
        <w:rPr>
          <w:b/>
        </w:rPr>
        <w:t>E. 10</w:t>
      </w:r>
    </w:p>
    <w:p>
      <w:r>
        <w:t>126 009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