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2001-0832 3903 vom 17. November 1995</w:t>
      </w:r>
    </w:p>
    <w:p>
      <w:r>
        <w:t>Bundesverwaltung, 1995-11-17, DE</w:t>
      </w:r>
    </w:p>
    <w:p>
      <w:r>
        <w:rPr>
          <w:b/>
        </w:rPr>
        <w:t xml:space="preserve">Quelle: </w:t>
      </w:r>
      <w:r>
        <w:t>https://mcp.opencaselaw.ch/entscheid/ch_vb_2001-0832_3903</w:t>
      </w:r>
    </w:p>
    <w:p>
      <w:r>
        <w:t>FR: CH_VB 2001-0832 3903 du 17 novembre 1995</w:t>
      </w:r>
    </w:p>
    <w:p>
      <w:r>
        <w:t>IT: CH_VB 2001-0832 3903 del 17 novembre 1995</w:t>
      </w:r>
    </w:p>
    <w:p>
      <w:pPr>
        <w:pStyle w:val="Heading2"/>
      </w:pPr>
      <w:r>
        <w:t>Erwägungen</w:t>
      </w:r>
    </w:p>
    <w:p>
      <w:r>
        <w:rPr>
          <w:b/>
        </w:rPr>
        <w:t>E. 1</w:t>
      </w:r>
    </w:p>
    <w:p>
      <w:r>
        <w:t>Chaque Partie prend les mesures juridiques, administratives et autres nécessaires et appropriées pour s’acquitter de ses obligations au titre du Protocole.</w:t>
      </w:r>
    </w:p>
    <w:p>
      <w:r>
        <w:rPr>
          <w:b/>
        </w:rPr>
        <w:t>E. 2</w:t>
      </w:r>
    </w:p>
    <w:p>
      <w:r>
        <w:t>Les Parties veillent à ce que la mise au point, la manipulation, le transport, l’utilisation, le transfert et la libération de tout organisme vivant modifié se fassent de manière à prévenir ou à réduire les risques pour la diversité biologique, en tenant compte également des risques pour la santé humaine.</w:t>
      </w:r>
    </w:p>
    <w:p>
      <w:r>
        <w:rPr>
          <w:b/>
        </w:rPr>
        <w:t>E. 3</w:t>
      </w:r>
    </w:p>
    <w:p>
      <w:r>
        <w:t>Rien dans le présent Protocole ne porte atteinte, de quelque façon que ce soit, à la souveraineté des Etats sur leurs eaux territoriales telle qu’établie en droit internatio- nal, ni aux droits souverains ou à la juridiction qu’ils exercent sur leur zone écono- mique exclusive et sur leur plateau continental en vertu du droit international, ni à l’exercice, par les navires et avions de tous les Etats, des droits et libertés de naviga- tion conférés par le droit international et consacrés dans les instruments internatio- naux pertinents.</w:t>
      </w:r>
    </w:p>
    <w:p>
      <w:r>
        <w:rPr>
          <w:b/>
        </w:rPr>
        <w:t>E. 4</w:t>
      </w:r>
    </w:p>
    <w:p>
      <w:r>
        <w:t>Rien dans le présent Protocole ne doit être interprété comme restreignant le droit d’une Partie de prendre des mesures plus rigoureuses pour la conservation et l’utilisation durable de la diversité biologique que celles prévues par le Protocole, à condition qu’elles soient compatibles avec l’objectif et les dispositions du Protocole et en accord avec les autres obligations imposées à cette Partie par le droit interna- tional.</w:t>
      </w:r>
    </w:p>
    <w:p>
      <w:r>
        <w:rPr>
          <w:b/>
        </w:rPr>
        <w:t>E. 5</w:t>
      </w:r>
    </w:p>
    <w:p>
      <w:r>
        <w:t>Le fait, pour la Partie importatrice, de ne pas communiquer sa décision dans les deux cent soixante-dix jours suivant la date de réception de la notification ne signi- fie pas qu’elle consent au mouvement transfrontière intentionnel.</w:t>
      </w:r>
    </w:p>
    <w:p>
      <w:r>
        <w:rPr>
          <w:b/>
        </w:rPr>
        <w:t>E. 6</w:t>
      </w:r>
    </w:p>
    <w:p>
      <w:r>
        <w:t>L’absence de certitude scientifique due à l’insuffisance des informations et con- naissances scientifiques pertinentes concernant l’étendue des effets défavorables potentiels d’un organisme vivant modifié sur la conservation et l’utilisation durable de la diversité biologique dans la Partie importatrice, compte tenu également des risques pour la santé humaine, n’empêche pas cette Partie de prendre comme il con- vient une décision concernant l’importation de l’organisme vivant modifié en ques- tion comme indiqué au par. 3 ci-dessus, pour éviter ou réduire au minimum ces ef- fets défavorables potentiels.</w:t>
      </w:r>
    </w:p>
    <w:p>
      <w:r>
        <w:rPr>
          <w:b/>
        </w:rPr>
        <w:t>E. 7</w:t>
      </w:r>
    </w:p>
    <w:p>
      <w:r>
        <w:t>Le fait qu’une Partie ne communique pas sa décision conformément au par. 6 ci- dessus ne signifie pas qu’elle consente à importer ou qu’elle refuse d’importer l’organisme vivant modifié considéré destiné à être utilisé directement pour l’ali- mentation humaine ou animale ou à être transformé, à moins qu’elle ne l’ait spécifié par ailleurs.</w:t>
      </w:r>
    </w:p>
    <w:p>
      <w:r>
        <w:rPr>
          <w:b/>
        </w:rPr>
        <w:t>E. 8</w:t>
      </w:r>
    </w:p>
    <w:p>
      <w:r>
        <w:t>L’absence de certitude scientifique due à l’insuffisance des informations et con- naissances scientifiques pertinentes concernant l’étendue des effets défavorables potentiels d’un organisme vivant modifié sur la conservation et l’utilisation durable de la diversité biologique dans la Partie importatrice, compte tenu également des risques pour la santé humaine, n’empêche pas cette Partie de prendre comme il con- vient une décision concernant l’importation de cet organisme vivant modifié s’il est destiné à être utilisé directement pour l’alimentation humaine ou animale ou à être transformé, pour éviter ou réduire au minimum ces effets défavorables potentiels.</w:t>
      </w:r>
    </w:p>
    <w:p>
      <w:r>
        <w:rPr>
          <w:b/>
        </w:rPr>
        <w:t>E. 9</w:t>
      </w:r>
    </w:p>
    <w:p>
      <w:r>
        <w:t>Selon le cas, l’évaluation des risques tient compte des données techniques et scientifiques pertinentes concernant: a. l’organisme récepteur ou les organismes parents: Les caractéristiques bio- logiques de l’organisme récepteur ou des organismes parents, y compris des précisions concernant la taxonomie, le nom commun, l’origine, les centres d’origine et les centres de diversité génétique, lorsqu’ils sont connus, et une description de l’habitat où les organismes peuvent persister ou proliférer; b. l’organisme ou les organismes donneurs: Taxonomie et nom commun, source et caractéristiques biologiques pertinentes des organismes donneurs; c. le vecteur: Les caractéristiques du vecteur, y compris son identité, le cas échéant, sa source ou son origine, et les aires de répartition de ses hôtes; d. l’insert ou les inserts et/ou les caractéristiques de la modification: Les ca- ractéristiques génétiques de l’acide nucléique inséré et la fonction qu’il dé- termine, et/ou les caractéristiques de la modification introduite; e. l’organisme vivant modifié: Identité de l’organisme vivant modifié, et diffé- rences entre les caractéristiques biologiques de l’organisme vivant modifié et celles de l’organisme récepteur ou des organismes parents; f. la détection et l’identification de l’organisme vivant modifié: Méthodes de détection et d’identification proposées et leur particularité, précision et fia- bilité;</w:t>
      </w:r>
    </w:p>
    <w:p>
      <w:r>
        <w:t>Protocole de Cartagena 3927 g. l’information relative à l’utilisation prévue: Information relative à l’utilisa- tion prévue de l’organisme vivant modifié, y compris toute utilisation nou- velle ou toute utilisation différant de celle de l’organisme récepteur ou pa- rent; et h. le milieu récepteur: Information sur l’emplacement et les caractéristiques géographiques, climatiques et écologiques du milieu récepteur potentiel pro- bable, y compris information pertinente sur la diversité biologique et les centres d’origine qui s’y trouvent.</w:t>
      </w:r>
    </w:p>
    <w:p>
      <w:r>
        <w:t>Schweizerisches Bundesarchiv, Digitale Amtsdruckschriften Archives fédérales suisses, Publications officielles numérisées Archivio federale svizzero, Pubblicazioni ufficiali digitali Protocole de Cartagena sur la prévention des risques biotechnologiques relatif à la Convention sur la disparité biologique In Bundesblatt Dans Feuille fédérale In Foglio federale Jahr 2001 Année Anno Band 1 Volume Volume Heft 34 Cahier Numero Geschäftsnummer --- Numéro d'affaire Numero dell'oggetto Datum 28.08.2001 Date Data Seite 3903-3927 Page Pagina Ref. No</w:t>
      </w:r>
    </w:p>
    <w:p>
      <w:r>
        <w:rPr>
          <w:b/>
        </w:rPr>
        <w:t>E. 10</w:t>
      </w:r>
    </w:p>
    <w:p>
      <w:r>
        <w:t>125 590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