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2000-1453 5655 vom 28. Dezember 2000</w:t>
      </w:r>
    </w:p>
    <w:p>
      <w:r>
        <w:t>Bundesverwaltung, 2000-12-28, DE</w:t>
      </w:r>
    </w:p>
    <w:p>
      <w:r>
        <w:rPr>
          <w:b/>
        </w:rPr>
        <w:t xml:space="preserve">Quelle: </w:t>
      </w:r>
      <w:r>
        <w:t>https://mcp.opencaselaw.ch/entscheid/ch_vb_2000-1453_5655</w:t>
      </w:r>
    </w:p>
    <w:p>
      <w:r>
        <w:t>FR: CH_VB 2000-1453 5655 du 28 décembre 2000</w:t>
      </w:r>
    </w:p>
    <w:p>
      <w:r>
        <w:t>IT: CH_VB 2000-1453 5655 del 28 dicembre 2000</w:t>
      </w:r>
    </w:p>
    <w:p>
      <w:pPr>
        <w:pStyle w:val="Heading2"/>
      </w:pPr>
      <w:r>
        <w:t>Erwägungen</w:t>
      </w:r>
    </w:p>
    <w:p>
      <w:r>
        <w:rPr>
          <w:b/>
        </w:rPr>
        <w:t>E. 1</w:t>
      </w:r>
    </w:p>
    <w:p>
      <w:r>
        <w:t>La présente Convention s’applique: a. aux produits chimiques interdits ou strictement réglementés; b. aux préparations pesticides extrêmement dangereuses.</w:t>
      </w:r>
    </w:p>
    <w:p>
      <w:r>
        <w:rPr>
          <w:b/>
        </w:rPr>
        <w:t>E. 2</w:t>
      </w:r>
    </w:p>
    <w:p>
      <w:r>
        <w:t>Chaque Partie fait en sorte que ses autorités nationales désignées disposent de ressources suffisantes pour s’acquitter efficacement de leurs tâches.</w:t>
      </w:r>
    </w:p>
    <w:p>
      <w:r>
        <w:rPr>
          <w:b/>
        </w:rPr>
        <w:t>E. 3</w:t>
      </w:r>
    </w:p>
    <w:p>
      <w:r>
        <w:t>Chaque Partie communique au Secrétariat, au plus tard à la date d’entrée en vi- gueur de la présente Convention pour elle-même, les nom et adresse de ses autorités nationales désignées. Elle informe immédiatement le Secrétariat de tout changement de nom ou d’adresse.</w:t>
      </w:r>
    </w:p>
    <w:p>
      <w:r>
        <w:rPr>
          <w:b/>
        </w:rPr>
        <w:t>E. 4</w:t>
      </w:r>
    </w:p>
    <w:p>
      <w:r>
        <w:t>Le Secrétariat communique aux Parties, tous les six mois, un résumé des rensei- gnements qui lui ont été communiqués en application des par. 1 et 2, y compris des renseignements figurant dans les notifications qui ne contiennent pas toutes les informations demandées à l’annexe I.</w:t>
      </w:r>
    </w:p>
    <w:p>
      <w:r>
        <w:t>Convention PIC 5659</w:t>
      </w:r>
    </w:p>
    <w:p>
      <w:r>
        <w:rPr>
          <w:b/>
        </w:rPr>
        <w:t>E. 5</w:t>
      </w:r>
    </w:p>
    <w:p>
      <w:r>
        <w:t>Lorsque le Secrétariat a reçu, pour un produit chimique donné, au moins une noti- fication émanant de deux régions différentes considérées aux fins de la procédure de consentement préalable en connaissance de cause, il transmet ces notifications au Comité d’étude des produits chimiques, après avoir vérifié qu’elles sont conformes à l’annexe I. Les régions considérées aux fins de la procédure de consentement pré- alable en connaissance de cause sont définies dans une décision qui est adoptée par consensus à la première réunion de la Conférence des Parties.</w:t>
      </w:r>
    </w:p>
    <w:p>
      <w:r>
        <w:rPr>
          <w:b/>
        </w:rPr>
        <w:t>E. 6</w:t>
      </w:r>
    </w:p>
    <w:p>
      <w:r>
        <w:t>Une décision finale devrait être accompagnée de renseignements sur les mesures législatives ou administratives sur lesquelles cette décision se fonde.</w:t>
      </w:r>
    </w:p>
    <w:p>
      <w:r>
        <w:rPr>
          <w:b/>
        </w:rPr>
        <w:t>E. 7</w:t>
      </w:r>
    </w:p>
    <w:p>
      <w:r>
        <w:t>Chaque Partie communique au Secrétariat, au plus tard à la date d’entrée en vi- gueur de la Convention pour elle-même, des réponses pour chacun des produits chimiques inscrits à l’annexe III. Les Parties qui ont communiqué leurs réponses en vertu de la version modifiée des Directives de Londres ou du Code international de conduite ne sont pas tenues de les communiquer à nouveau.</w:t>
      </w:r>
    </w:p>
    <w:p>
      <w:r>
        <w:rPr>
          <w:b/>
        </w:rPr>
        <w:t>E. 8</w:t>
      </w:r>
    </w:p>
    <w:p>
      <w:r>
        <w:t>Chaque Partie met ses réponses au titre du présent article à la disposition des per- sonnes physiques et morales intéressées relevant de sa juridiction, conformément à ses mesures législatives ou administratives.</w:t>
      </w:r>
    </w:p>
    <w:p>
      <w:r>
        <w:t>Convention PIC 5662</w:t>
      </w:r>
    </w:p>
    <w:p>
      <w:r>
        <w:rPr>
          <w:b/>
        </w:rPr>
        <w:t>E. 9</w:t>
      </w:r>
    </w:p>
    <w:p>
      <w:r>
        <w:t>Toute Partie qui, en vertu des par. 2 et 4 ci-dessus et du par. 2 de l’art. 11, prend la décision de ne pas consentir à l’importation d’un produit chimique ou de n’y con- sentir que dans des conditions précises doit, si elle ne l’a pas déjà fait, simultané- ment interdire ou soumettre aux mêmes conditions: a. l’importation du produit chimique considéré quelle qu’en soit la provenance; b. la production nationale du produit chimique aux fins de consommation inté- rieure.</w:t>
      </w:r>
    </w:p>
    <w:p>
      <w:r>
        <w:rPr>
          <w:b/>
        </w:rPr>
        <w:t>E. 10</w:t>
      </w:r>
    </w:p>
    <w:p>
      <w:r>
        <w:t>125 049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