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2000-1320 1153 vom 22. Juni 2001</w:t>
      </w:r>
    </w:p>
    <w:p>
      <w:r>
        <w:t>Bundesverwaltung, 2001-06-22, DE</w:t>
      </w:r>
    </w:p>
    <w:p>
      <w:r>
        <w:rPr>
          <w:b/>
        </w:rPr>
        <w:t xml:space="preserve">Quelle: </w:t>
      </w:r>
      <w:r>
        <w:t>https://mcp.opencaselaw.ch/entscheid/ch_vb_2000-1320_1153</w:t>
      </w:r>
    </w:p>
    <w:p>
      <w:r>
        <w:t>FR: CH_VB 2000-1320 1153 du 22 juin 2001</w:t>
      </w:r>
    </w:p>
    <w:p>
      <w:r>
        <w:t>IT: CH_VB 2000-1320 1153 del 22 giugno 2001</w:t>
      </w:r>
    </w:p>
    <w:p>
      <w:pPr>
        <w:pStyle w:val="Heading2"/>
      </w:pPr>
      <w:r>
        <w:t>Erwägungen</w:t>
      </w:r>
    </w:p>
    <w:p>
      <w:r>
        <w:rPr>
          <w:b/>
        </w:rPr>
        <w:t>E. 1</w:t>
      </w:r>
    </w:p>
    <w:p>
      <w:r>
        <w:t>Le plafond des dépenses totales cité à l’art. 126, al. 2, de la Constitution corres- pond au produit de deux valeurs, soit les recettes estimées et un facteur conjoncturel.</w:t>
      </w:r>
    </w:p>
    <w:p>
      <w:r>
        <w:rPr>
          <w:b/>
        </w:rPr>
        <w:t>E. 2</w:t>
      </w:r>
    </w:p>
    <w:p>
      <w:r>
        <w:t>L’estimation des recettes ne tient pas compte des recettes exceptionnelles, notam- ment de celles qui proviennent d’investissements ou de patentes et de concessions.</w:t>
      </w:r>
    </w:p>
    <w:p>
      <w:r>
        <w:rPr>
          <w:b/>
        </w:rPr>
        <w:t>E. 3</w:t>
      </w:r>
    </w:p>
    <w:p>
      <w:r>
        <w:t>Le Conseil fédéral fixe la date de l’entrée en vigueur. Conseil des Etats, 22 juin 2001 Conseil national, 22 juin 2001 La présidente: Françoise Saudan Le secrétaire: Christoph Lanz Le président: Peter Hess Le secrétaire: Ueli Anliker Date de publication: 19 février 20026 Délai référendaire: 30 mai 2002</w:t>
      </w:r>
    </w:p>
    <w:p>
      <w:r>
        <w:rPr>
          <w:b/>
        </w:rPr>
        <w:t>E. 4</w:t>
      </w:r>
    </w:p>
    <w:p>
      <w:r>
        <w:t>RS 161.1</w:t>
      </w:r>
    </w:p>
    <w:p>
      <w:r>
        <w:rPr>
          <w:b/>
        </w:rPr>
        <w:t>E. 5</w:t>
      </w:r>
    </w:p>
    <w:p>
      <w:r>
        <w:t>RO 2002 241</w:t>
      </w:r>
    </w:p>
    <w:p>
      <w:r>
        <w:rPr>
          <w:b/>
        </w:rPr>
        <w:t>E. 6</w:t>
      </w:r>
    </w:p>
    <w:p>
      <w:r>
        <w:t>FF 2002 1153</w:t>
      </w:r>
    </w:p>
    <w:p>
      <w:r>
        <w:t>Schweizerisches Bundesarchiv, Digitale Amtsdruckschriften Archives fédérales suisses, Publications officielles numérisées Archivio federale svizzero, Pubblicazioni ufficiali digitali Loi fédérale sur les finances de la Confédération (LFC) (Projet) In Bundesblatt Dans Feuille fédérale In Foglio federale Jahr 2002 Année Anno Band 1 Volume Volume Heft</w:t>
      </w:r>
    </w:p>
    <w:p>
      <w:r>
        <w:rPr>
          <w:b/>
        </w:rPr>
        <w:t>E. 07</w:t>
      </w:r>
    </w:p>
    <w:p>
      <w:r>
        <w:t>Cahier Numero Geschäftsnummer --- Numéro d'affaire Numero dell'oggetto Datum 19.02.2002 Date Data Seite 1153-1155 Page Pagina Ref. No</w:t>
      </w:r>
    </w:p>
    <w:p>
      <w:r>
        <w:rPr>
          <w:b/>
        </w:rPr>
        <w:t>E. 10</w:t>
      </w:r>
    </w:p>
    <w:p>
      <w:r>
        <w:t>126 029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