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2000-0993 2883 vom 16. Mai 2000</w:t>
      </w:r>
    </w:p>
    <w:p>
      <w:r>
        <w:t>Bundesverwaltung, 2000-05-16, DE</w:t>
      </w:r>
    </w:p>
    <w:p>
      <w:r>
        <w:rPr>
          <w:b/>
        </w:rPr>
        <w:t xml:space="preserve">Quelle: </w:t>
      </w:r>
      <w:r>
        <w:t>https://mcp.opencaselaw.ch/entscheid/ch_vb_2000-0993_2883</w:t>
      </w:r>
    </w:p>
    <w:p>
      <w:r>
        <w:t>FR: CH_VB 2000-0993 2883 du 16 mai 2000</w:t>
      </w:r>
    </w:p>
    <w:p>
      <w:r>
        <w:t>IT: CH_VB 2000-0993 2883 del 16 maggio 2000</w:t>
      </w:r>
    </w:p>
    <w:p>
      <w:pPr>
        <w:pStyle w:val="Heading2"/>
      </w:pPr>
      <w:r>
        <w:t>Erwägungen</w:t>
      </w:r>
    </w:p>
    <w:p>
      <w:r>
        <w:rPr>
          <w:b/>
        </w:rPr>
        <w:t>E. 1</w:t>
      </w:r>
    </w:p>
    <w:p>
      <w:r>
        <w:t>L’extension s’applique à tout le territoire suisse, à l’exception des cantons de Genève, Vaud et Valais.</w:t>
      </w:r>
    </w:p>
    <w:p>
      <w:r>
        <w:rPr>
          <w:b/>
        </w:rPr>
        <w:t>E. 2</w:t>
      </w:r>
    </w:p>
    <w:p>
      <w:r>
        <w:t>Des tirés à part du champ d’application peuvent être obtenus auprès de l’EDMZ, 3003 Berne.</w:t>
      </w:r>
    </w:p>
    <w:p>
      <w:r>
        <w:t>Convention collective de travail dans la branche suisse du chauffage, de la climatisation, de la ventilation, de la ferblanterie et de l’installation sanitaire 2884 e. Les apprentis et apprenties au sens de l a loi fédérale sur la formation profes- sionnelle; f. Les travailleurs liés par un contrat de travail limité à trois mois en l’espace de douze mois; g. Les travailleurs à temps partiel dans la mesure ou l’activité couvre moins de 40 pour cent de la durée normale de travail.</w:t>
      </w:r>
    </w:p>
    <w:p>
      <w:r>
        <w:rPr>
          <w:b/>
        </w:rPr>
        <w:t>E. 3</w:t>
      </w:r>
    </w:p>
    <w:p>
      <w:r>
        <w:t>Les clauses étendues, énumérées ci-après, s’appliquent aussi aux rapports de travail entre les employeurs ayant leur siège respectivement à l’étranger ou hors du champ d’application territorial décrit à l’al. 1 et leurs travailleurs, pour autant qu’ils rem- plissent les conditions posées par l’al. 2 et accomplissent des travaux qui tombent sous le champ d’application de l’al.1: art. 6.1 let. a, b, d, e; art. 6.2; art. 10.2 let. e, f, g, h, i, l; art. 10.3; art. 11.1; art. 11.5 let. a, c, h, i; art. 11.6; art. 13.1, 3 et 4; art 21.2, 3, 4, 5, 6, 8, 9 et 12; art. 22.1 à 10; art. 23.2, 4 et 5; art. 24.2, 3, 4 et 5; art. 25; art. 26; art. 29; art. 30.1, 2, 3, 4, 6 et 9; art. 31.1, 2 et 4; art. 32; art. 34.1 let. a à i; art. 35; art. 36.1; art. 37; art. 38.1 et 2; art. 39.4, 5, et 6; art. 42; art. 43; art. 44; art. 45; art. 46; art. 55.1 à 3; Annexe 8. L’art. 40 s’applique si cette durée excède un mois sur une période d’une année. Lorsque la durée de ces travaux, calculé sur une pé- riode de référence d’une année, dépasse deux mois, il y a lieu de contracter, pour ces rapports de travail, une assurance d’indemnité journalière en cas de maladie (perte de gain) selon l’art. 49 et 50 ou de prévoir, par accord écrit, une réglementation du paiement du salaire en cas de maladie qui corresponde au minimum aux exigences de l’art. 324a du Code des obligations. Art. 3 Chaque année, les comptes annuels détaillés, ainsi que le budget pour le prochain exercice doivent être soumis à la Direction du travail du seco au sujet des contribu- tions aux frais d’exécution. Ces comptes doivent être complétés par le rapport d’une institution de révision reconnue. La gestion doit être conforme aux directives éta- 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juillet 2000 et a effet jusqu’au 30 juin 2004. 16 mai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du chauffage, de la climatisation, de la ventilation, de la ferblanterie et de l'installation sanitaire In Bundesblatt Dans Feuille fédérale In Foglio federale Jahr 2000 Année Anno Band 1 Volume Volume Heft 22 Cahier Numero Geschäftsnummer --- Numéro d'affaire Numero dell'oggetto Datum 06.06.2000 Date Data Seite 2883-2884 Page Pagina Ref. No 10 124 574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