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2000-0635 4773 vom 26. September 2000</w:t>
      </w:r>
    </w:p>
    <w:p>
      <w:r>
        <w:t>Bundesverwaltung, 2000-09-26, DE</w:t>
      </w:r>
    </w:p>
    <w:p>
      <w:r>
        <w:rPr>
          <w:b/>
        </w:rPr>
        <w:t xml:space="preserve">Quelle: </w:t>
      </w:r>
      <w:r>
        <w:t>https://mcp.opencaselaw.ch/entscheid/ch_vb_2000-0635_4773</w:t>
      </w:r>
    </w:p>
    <w:p>
      <w:r>
        <w:t>FR: CH_VB 2000-0635 4773 du 26 septembre 2000</w:t>
      </w:r>
    </w:p>
    <w:p>
      <w:r>
        <w:t>IT: CH_VB 2000-0635 4773 del 26 settembre 2000</w:t>
      </w:r>
    </w:p>
    <w:p>
      <w:pPr>
        <w:pStyle w:val="Heading2"/>
      </w:pPr>
      <w:r>
        <w:t>Erwägungen</w:t>
      </w:r>
    </w:p>
    <w:p>
      <w:r>
        <w:rPr>
          <w:b/>
        </w:rPr>
        <w:t>E. 1</w:t>
      </w:r>
    </w:p>
    <w:p>
      <w:r>
        <w:t>L’acquisition du matériel d’armement, telle qu’elle est proposée dans le message du 29 mars 2000 (programme d’armement 2000), est approuvée.</w:t>
      </w:r>
    </w:p>
    <w:p>
      <w:r>
        <w:rPr>
          <w:b/>
        </w:rPr>
        <w:t>E. 2</w:t>
      </w:r>
    </w:p>
    <w:p>
      <w:r>
        <w:t>Les crédits de paiement pour l’acquisition de matériel d’armement grèvent la ru- brique 540.3230.001, matériel d’armement, Groupement de l’armement. Art. 3 Le Conseil fédéral règle les modalités de l’acquisition. Art. 4 Le présent arrêté n'est pas sujet au référendum. Conseil des Etats, 21 juin 2000 Conseil national, 26 septembre 2000 Le président: Schmid Carlo Le secrétaire: Lanz Le président: Seiler Le secrétaire: Anliker</w:t>
      </w:r>
    </w:p>
    <w:p>
      <w:r>
        <w:t>1 FF 2000 2835</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2000) In Bundesblatt Dans Feuille fédérale In Foglio federale Jahr 2000 Année Anno Band 1 Volume Volume Heft 41 Cahier Numero Geschäftsnummer --- Numéro d'affaire Numero dell'oggetto Datum 17.10.2000 Date Data Seite 4773-4773 Page Pagina Ref. No 10 124 895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