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2000-0541 2029 vom 11. April 2000</w:t>
      </w:r>
    </w:p>
    <w:p>
      <w:r>
        <w:t>Bundesverwaltung, 2000-04-11, DE</w:t>
      </w:r>
    </w:p>
    <w:p>
      <w:r>
        <w:rPr>
          <w:b/>
        </w:rPr>
        <w:t xml:space="preserve">Quelle: </w:t>
      </w:r>
      <w:r>
        <w:t>https://mcp.opencaselaw.ch/entscheid/ch_vb_2000-0541_2029</w:t>
      </w:r>
    </w:p>
    <w:p>
      <w:r>
        <w:t>FR: CH_VB 2000-0541 2029 du 11 avril 2000</w:t>
      </w:r>
    </w:p>
    <w:p>
      <w:r>
        <w:t>IT: CH_VB 2000-0541 2029 del 11 aprile 2000</w:t>
      </w:r>
    </w:p>
    <w:p>
      <w:pPr>
        <w:pStyle w:val="Heading2"/>
      </w:pPr>
      <w:r>
        <w:t>Volltext</w:t>
      </w:r>
    </w:p>
    <w:p>
      <w:r>
        <w:t>2000-0541 2029 Arrêté fédéral Projet concernant le financement de la promotion des exportations pendant les années 2001 à 2003 du . . . L’Assemblée fédérale de la Confédération suisse, vu l’art. 167 de la Constitution, vu les art. 7 et 9 de la loi fédérale du . . . sur la promotion des exportations (loi)1, arrête: Art. 1 Un plafond de dépenses de 40,8 millions de francs est accordé pour la promotion des exportations pendant les années 2001 à 2003. Art. 2 Pour les années 2001 à 2004, un crédit-cadre de 3,6 millons de francs est accordé au titre de la participation de la Confédération aux mesures de restructuration visées à l’art. 9 de la loi. Art. 3 1 Le présent arrêté n’est pas sujet au référendum. 2 Il entre en vigueur en même temps que la loi fédérale du . . . sur la promotion des exportations.</w:t>
      </w:r>
    </w:p>
    <w:p>
      <w:r>
        <w:t>1 FF 2000 2026</w:t>
      </w:r>
    </w:p>
    <w:p>
      <w:r>
        <w:t>Schweizerisches Bundesarchiv, Digitale Amtsdruckschriften Archives fédérales suisses, Publications officielles numérisées Archivio federale svizzero, Pubblicazioni ufficiali digitali Arrêté fédéral concernant le financement de la promotion des exportations pendant les années 2001 à 2003 In Bundesblatt Dans Feuille fédérale In Foglio federale Jahr 2000 Année Anno Band 1 Volume Volume Heft 14 Cahier Numero Geschäftsnummer --- Numéro d'affaire Numero dell'oggetto Datum 11.04.2000 Date Data Seite 2029-2029 Page Pagina Ref. No 10 124 439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