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2000-0153 595 vom 13. August 1999</w:t>
      </w:r>
    </w:p>
    <w:p>
      <w:r>
        <w:t>Bundesverwaltung, 1999-08-13, DE</w:t>
      </w:r>
    </w:p>
    <w:p>
      <w:r>
        <w:rPr>
          <w:b/>
        </w:rPr>
        <w:t xml:space="preserve">Quelle: </w:t>
      </w:r>
      <w:r>
        <w:t>https://mcp.opencaselaw.ch/entscheid/ch_vb_2000-0153_595</w:t>
      </w:r>
    </w:p>
    <w:p>
      <w:r>
        <w:t>FR: CH_VB 2000-0153 595 du 13 août 1999</w:t>
      </w:r>
    </w:p>
    <w:p>
      <w:r>
        <w:t>IT: CH_VB 2000-0153 595 del 13 agosto 1999</w:t>
      </w:r>
    </w:p>
    <w:p>
      <w:pPr>
        <w:pStyle w:val="Heading2"/>
      </w:pPr>
      <w:r>
        <w:t>Erwägungen</w:t>
      </w:r>
    </w:p>
    <w:p>
      <w:r>
        <w:rPr>
          <w:b/>
        </w:rPr>
        <w:t>E. 1</w:t>
      </w:r>
    </w:p>
    <w:p>
      <w:r>
        <w:t>Les membres du Conseil national ou du Conseil des Etats ainsi que les membres d’autorités et les magistrats élus par l’Assemblée fédérale ne peuvent faire l’objet d’une poursuite pénale en raison d’infractions directement liées à leur activité offi- cielle qu’avec l’autorisation des Chambres fédérales.</w:t>
      </w:r>
    </w:p>
    <w:p>
      <w:r>
        <w:rPr>
          <w:b/>
        </w:rPr>
        <w:t>E. 2</w:t>
      </w:r>
    </w:p>
    <w:p>
      <w:r>
        <w:t>et 3 (inchangés)</w:t>
      </w:r>
    </w:p>
    <w:p>
      <w:r>
        <w:rPr>
          <w:b/>
        </w:rPr>
        <w:t>E. 4</w:t>
      </w:r>
    </w:p>
    <w:p>
      <w:r>
        <w:t>Si l’autorisation est accordée, les deux conseils statuent également . . . (reste in- changée)</w:t>
      </w:r>
    </w:p>
    <w:p>
      <w:r>
        <w:rPr>
          <w:b/>
        </w:rPr>
        <w:t>E. 5</w:t>
      </w:r>
    </w:p>
    <w:p>
      <w:r>
        <w:t>et 6 (inchangés) Art. 37, al. 4 (Règlement du Conseil des Etats) 4 Les requêtes demandant que l’immunité de magistrats soit levée, ainsi que d’autres demandes semblables sont soumises à un examen préalable par la commission des affaires juridiques. De concert avec la commission du Conseil national, la commis- sion peut, à la condition de renseigner le conseil, liquider directement les demandes manifestement mal fondées. Minorité III (Reimann, Hess, Merz, Schmid Carlo) Art. 14, al 1: (comme majorité) Art. 14, al. 1bis (nouveau) 1bis Si l’expression d’une opinion est couverte par l’immunité absolue aux termes de l’art. 2, al. 2, la réitération de cette opinion en dehors des conseils ou de leurs com- missions ne fonde pas de lien direct avec l’activité officielle au sens de l’al. 1. Art. 14, al. 2 à 6: (comme majorité) II 1 La présente loi est sujette au référendum facultatif. 2 En l'absence de référendum, elle entre en vigueur le premier jour du deuxième mois qui suit l'échéance du délai d'opposition ou, en cas de référendum, le jour de son acceptation en votation populaire.</w:t>
      </w:r>
    </w:p>
    <w:p>
      <w:r>
        <w:t>Schweizerisches Bundesarchiv, Digitale Amtsdruckschriften Archives fédérales suisses, Publications officielles numérisées Archivio federale svizzero, Pubblicazioni ufficiali digitali Loi fédérale sur la responsabilité de la Confédération, des membres de ses autorités et de ses fonctionnaires (Loi sur la responsabilité) In Bundesblatt Dans Feuille fédérale In Foglio federale Jahr 2000 Année Anno Band 1 Volume Volume Heft</w:t>
      </w:r>
    </w:p>
    <w:p>
      <w:r>
        <w:rPr>
          <w:b/>
        </w:rPr>
        <w:t>E. 07</w:t>
      </w:r>
    </w:p>
    <w:p>
      <w:r>
        <w:t>Cahier Numero Geschäftsnummer --- Numéro d'affaire Numero dell'oggetto Datum 22.02.2000 Date Data Seite 595-596 Page Pagina Ref. No</w:t>
      </w:r>
    </w:p>
    <w:p>
      <w:r>
        <w:rPr>
          <w:b/>
        </w:rPr>
        <w:t>E. 10</w:t>
      </w:r>
    </w:p>
    <w:p>
      <w:r>
        <w:t>124 258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