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1906 2001-2381 vom 12. März 2002</w:t>
      </w:r>
    </w:p>
    <w:p>
      <w:r>
        <w:t>Bundesverwaltung, 2002-03-12, DE</w:t>
      </w:r>
    </w:p>
    <w:p>
      <w:r>
        <w:rPr>
          <w:b/>
        </w:rPr>
        <w:t xml:space="preserve">Quelle: </w:t>
      </w:r>
      <w:r>
        <w:t>https://mcp.opencaselaw.ch/entscheid/ch_vb_1906_2001-2381</w:t>
      </w:r>
    </w:p>
    <w:p>
      <w:r>
        <w:t>FR: CH_VB 1906 2001-2381 du 12 mars 2002</w:t>
      </w:r>
    </w:p>
    <w:p>
      <w:r>
        <w:t>IT: CH_VB 1906 2001-2381 del 12 marzo 2002</w:t>
      </w:r>
    </w:p>
    <w:p>
      <w:pPr>
        <w:pStyle w:val="Heading2"/>
      </w:pPr>
      <w:r>
        <w:t>Erwägungen</w:t>
      </w:r>
    </w:p>
    <w:p>
      <w:r>
        <w:rPr>
          <w:b/>
        </w:rPr>
        <w:t>E. 1</w:t>
      </w:r>
    </w:p>
    <w:p>
      <w:r>
        <w:t>Est suisse dès sa naissance: a. l’enfant de conjoints dont l’un au moins est suisse;</w:t>
      </w:r>
    </w:p>
    <w:p>
      <w:r>
        <w:rPr>
          <w:b/>
        </w:rPr>
        <w:t>E. 2</w:t>
      </w:r>
    </w:p>
    <w:p>
      <w:r>
        <w:t>Les émoluments de la Confédération sont remis en cas d’indigence. Art. 40 Abrogé Art. 51, titre marginal et al. 3</w:t>
      </w:r>
    </w:p>
    <w:p>
      <w:r>
        <w:rPr>
          <w:b/>
        </w:rPr>
        <w:t>E. 3</w:t>
      </w:r>
    </w:p>
    <w:p>
      <w:r>
        <w:t>RS 101</w:t>
      </w:r>
    </w:p>
    <w:p>
      <w:r>
        <w:rPr>
          <w:b/>
        </w:rPr>
        <w:t>E. 4</w:t>
      </w:r>
    </w:p>
    <w:p>
      <w:r>
        <w:t>Les art. 26 et 32 à 41 sont applicables par analogie. Art. 58b Abrogé Art. 58c (nouveau) 1 Un enfant de père suisse peut former une demande de naturalisation facilitée avant l’âge de 22 ans si les conditions de l’art. 1, al. 2, sont réunies et s’il est né avant l’entrée en vigueur de la modification du ...5 de la présente loi. 2 Après ses 22 ans révolus, il peut former une demande de naturalisa- tion facilitée s’il a des liens étroits avec la Suisse. 3 Les art. 26 et 32 à 41 sont applicables par analogie. Art. 58d (nouveau) Les cantons édictent les dispositions d’exécution de l’art. 51a, al. 2 et 3, au plus tard un an après l’entrée en vigueur de la modification du … 6 de la présente loi. II La loi fédérale d’organisation judiciaire du 16 décembre 19437 est modifiée comme suit: Art. 100, al. 1, let. c Abrogée</w:t>
      </w:r>
    </w:p>
    <w:p>
      <w:r>
        <w:rPr>
          <w:b/>
        </w:rPr>
        <w:t>E. 5</w:t>
      </w:r>
    </w:p>
    <w:p>
      <w:r>
        <w:t>FF 2002 1906</w:t>
      </w:r>
    </w:p>
    <w:p>
      <w:r>
        <w:rPr>
          <w:b/>
        </w:rPr>
        <w:t>E. 6</w:t>
      </w:r>
    </w:p>
    <w:p>
      <w:r>
        <w:t>FF 2002 1906</w:t>
      </w:r>
    </w:p>
    <w:p>
      <w:r>
        <w:rPr>
          <w:b/>
        </w:rPr>
        <w:t>E. 7</w:t>
      </w:r>
    </w:p>
    <w:p>
      <w:r>
        <w:t>RS 173.110 Naturalisation facilitée des enfants de mère suisse Naturalisation facilitée des enfants de père suisse Recours contre des décisions cantonales en matière de natu- ralisation</w:t>
      </w:r>
    </w:p>
    <w:p>
      <w:r>
        <w:t>Loi sur la nationalité 1910 III 1 La présente loi est sujette au référendum. 2 Le Conseil fédéral fixe la date de l’entrée en vigueur.</w:t>
      </w:r>
    </w:p>
    <w:p>
      <w:r>
        <w:t>Schweizerisches Bundesarchiv, Digitale Amtsdruckschriften Archives fédérales suisses, Publications officielles numérisées Archivio federale svizzero, Pubblicazioni ufficiali digitali Loi fédérale sur l'acquisition et la perte de la nationalité suisse (Loi sur la nationalité, LN). (Acquisition de la nationalité par des personnes d'origine suisse, émoluments et voies de recours) (Projet C) In Bundesblatt Dans Feuille fédérale In Foglio federale Jahr 2002 Année Anno Band 1 Volume Volume Heft</w:t>
      </w:r>
    </w:p>
    <w:p>
      <w:r>
        <w:rPr>
          <w:b/>
        </w:rPr>
        <w:t>E. 10</w:t>
      </w:r>
    </w:p>
    <w:p>
      <w:r>
        <w:t>126 117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