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1802 2007-0670 vom 14. Juni 1993</w:t>
      </w:r>
    </w:p>
    <w:p>
      <w:r>
        <w:t>Bundesverwaltung, 1993-06-14, DE</w:t>
      </w:r>
    </w:p>
    <w:p>
      <w:r>
        <w:rPr>
          <w:b/>
        </w:rPr>
        <w:t xml:space="preserve">Quelle: </w:t>
      </w:r>
      <w:r>
        <w:t>https://mcp.opencaselaw.ch/entscheid/ch_vb_1802_2007-0670_</w:t>
      </w:r>
    </w:p>
    <w:p>
      <w:r>
        <w:t>FR: CH_VB 1802 2007-0670 du 14 juin 1993</w:t>
      </w:r>
    </w:p>
    <w:p>
      <w:r>
        <w:t>IT: CH_VB 1802 2007-0670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autorisations de lever le secret professionnel en matière de recherche médicale est octroyée au Prof. Dr méd. Roland Zimmermann, directeur de la Clinique obstétrique de l’Hôpital universitaire de Zurich, en tant que responsable et chef de projet, aux conditions et aux charges mentionnées ci-après, pour la récolte de données non anonymes selon les chiffres 2 et 3. Il doit signer une déclaration sur son obligation de garder le secret en vertu de l’art. 321bis CP, et la remettre à la Commission d’experts. b) Une autorisation particulière de lever le secret professionnel au sens des art. 321bis CP et 2 OALSP est octroyée au Dr. méd. Katharina Quack Lötscher, collaboratrice scientifique, ainsi qu’à Mme cand. méd. Martina Fässler, tou- tes deux de la Division recherche obstétrique de l’Hôpital universitaire de Zurich, aux conditions et aux charges mentionnées ci-après, pour la récolte de données non anonymes selon les chiffres 2 et 3. Elles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des hôpitaux, des cliniques et des institutions qui participent au projet, envers les titulaires de l’autorisation au sens du chiffre 1. Ils sont autorisés à leur donner accès aux dossiers médicaux des patientes décédées entre 1994 et 2004 et dont le certi- ficat de décès contient un code ICD-10 (000-099) lié à une grossesse. Cette communication de données peut uniquement servir au but décrit au chiffre 3.</w:t>
      </w:r>
    </w:p>
    <w:p>
      <w:r>
        <w:t>1803 b) L’octroi de l’autorisation n’engendre pour personne l’obligation de commu- niquer les données.</w:t>
      </w:r>
    </w:p>
    <w:p>
      <w:r>
        <w:rPr>
          <w:b/>
        </w:rPr>
        <w:t>E. 3</w:t>
      </w:r>
    </w:p>
    <w:p>
      <w:r>
        <w:t>But de la communication des données La communication de données personnelles soumises au secret professionnel au sens de l’art. 321bis CP n’est autorisée que pour le projet de recherche «Mütterliche Sterblichkeit in der Schweiz 1995 à 2004».</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Prof. Dr Roland Zimmermann, directeur de la Clinique obsté- trique de l’Hôpital universitaire de Zurich, est responsable de la protection des données communiquées.</w:t>
      </w:r>
    </w:p>
    <w:p>
      <w:r>
        <w:rPr>
          <w:b/>
        </w:rPr>
        <w:t>E. 6</w:t>
      </w:r>
    </w:p>
    <w:p>
      <w:r>
        <w:t>Charges a) Les données personnelles utiles au projet de recherche doivent être anony- misées dès que possible. b) Aucune personne non autorisée ne peut accéder aux données non anonymes. c) Les données non anonymes doivent être détruites dès qu’elles ne sont plus utiles. La destruction doit intervenir selon les instructions du préposé canto- nal à la protection des données. d) Les résultats de l’étude ne peuvent être publiés que sous forme anonyme, c’est à dire qu’aucun retour aux personnes concernées ne doit être possible. Un exemplaire de la thèse de doctorat doit être remis à la Commission d’experts pour information, à la fin du projet. e) Les titulaires de l’autorisation sont tenus d’orienter, par écrit, les médecins des hôpitaux, cliniques et institutions participant au projet sur l’étendue de l’autorisation. La lettre doit notamment indiquer que les données personnel- les des patientes qui, de leur vivant, ont refusé l’utilisation de leurs données pour la recherche ne doivent pas être transmises. La lettre doit être soumise, pour information, au Président de la Commission d’experts par l’intermé- diaire de son secrétariat, avant son expédition aux médecins.</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1804</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3003 Berne (téléphone: 031 322 94 94). 20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w:t>
      </w:r>
    </w:p>
    <w:p>
      <w:r>
        <w:rPr>
          <w:b/>
        </w:rPr>
        <w:t>E. 12</w:t>
      </w:r>
    </w:p>
    <w:p>
      <w:r>
        <w:t>Cahier Numero Geschäftsnummer --- Numéro d'affaire Numero dell'oggetto Datum 20.03.2007 Date Data Seite 1802-1804 Page Pagina Ref. No 10 140 439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