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1570 2001-0218 vom 30. Oktober 2000</w:t>
      </w:r>
    </w:p>
    <w:p>
      <w:r>
        <w:t>Bundesverwaltung, 2000-10-30, DE</w:t>
      </w:r>
    </w:p>
    <w:p>
      <w:r>
        <w:rPr>
          <w:b/>
        </w:rPr>
        <w:t xml:space="preserve">Quelle: </w:t>
      </w:r>
      <w:r>
        <w:t>https://mcp.opencaselaw.ch/entscheid/ch_vb_1570_2001-0218</w:t>
      </w:r>
    </w:p>
    <w:p>
      <w:r>
        <w:t>FR: CH_VB 1570 2001-0218 du 30 octobre 2000</w:t>
      </w:r>
    </w:p>
    <w:p>
      <w:r>
        <w:t>IT: CH_VB 1570 2001-0218 del 30 ottobre 2000</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ainsi que les impôts sur le montant global des salaires payés par les entreprises.</w:t>
      </w:r>
    </w:p>
    <w:p>
      <w:r>
        <w:rPr>
          <w:b/>
        </w:rPr>
        <w:t>E. 3</w:t>
      </w:r>
    </w:p>
    <w:p>
      <w:r>
        <w:t>Les impôts actuels auxquels s’applique la Convention sont notamment: a)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1 Traduction du texte original allemand. Traduction1</w:t>
      </w:r>
    </w:p>
    <w:p>
      <w:r>
        <w:t>Doubles impositions 1571 b) en Ukraine: (i) l’impôt sur le bénéfice des entreprises, et (ii) l’impôt personnel sur le revenu (ci-après désignés par «impôt ukrainien»).</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pour l’entreprise, aux seules fins de publicité, de fourniture d’informations, de recherches scientifiques ou d’activités analogues qui ont un caractère préparatoire ou auxiliaire; f) une installation fixe d’affaires est utilisée aux seules fins de l’exercice cu- mulé d’activités mentionnées aux al. a) à e), à condition que l’activité d’ensemble de l’installation fixe d’affaires résultant de ce cumul garde un caractère préparatoire ou auxiliaire.</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ou détient des stocks de marchandises appartenant à une entreprise qu’elle vend régulièrement au nom de l’entreprise, cette entreprise est considérée comme ayant un établissement stable dans cet Etat pour toutes les activités que cette personne exerce pour l’entreprise, à moins que les activités de cette personne ne soient limi- tées à celles qui sont mentionnées au par. 4 et qui, si elles étaient exercées par l’intermédiaire d’une installation fixe d’affaires, ne permettraient pas de considérer cette installation comme un établissement stable selon les dispositions de ce para- 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t>Doubles impositions 1574</w:t>
      </w:r>
    </w:p>
    <w:p>
      <w:r>
        <w:rPr>
          <w:b/>
        </w:rPr>
        <w:t>E. 7</w:t>
      </w:r>
    </w:p>
    <w:p>
      <w:r>
        <w:t>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w:t>
      </w:r>
    </w:p>
    <w:p>
      <w:r>
        <w:rPr>
          <w:b/>
        </w:rPr>
        <w:t>E. 8</w:t>
      </w:r>
    </w:p>
    <w:p>
      <w:r>
        <w:t>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qu’un résident d’un Etat contractant tire de l’aliénation: a) de droits de participation dont la contre-valeur est constituée directement ou indirectement en tout ou en majorité par des biens immobiliers situés dans l’autre Etat contractant, ou b) d’une participation à une société de personnes dont les actifs sont constitués principalement par des biens immobiliers situés dans l’autre Etat contractant ou par des droits de participation au sens de la let. a), sont imposables dans cet autre Etat. 3.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4. Les gains d’une entreprise qui est un résident d’un Etat contractant provenant de l’aliénation de navires, aéronefs ou véhicules routiers exploités en trafic internatio-</w:t>
      </w:r>
    </w:p>
    <w:p>
      <w:r>
        <w:t>Doubles impositions 1580 nal, ou de biens mobiliers affectés à l’exploitation de ces navires, aéronefs ou véhi- cules routiers, ne sont imposables que dans cet Etat. 5. Les gains provenant de l’aliénation de tous biens autres que ceux visés aux par. 1, 2, 3 et 4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dans une période de 12 mois débutant ou finissant au cours de l’année fiscale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routier exploité en trafic international par une entreprise qui est un résident d’un Etat contractant sont imposables dans cet Etat. Art. 16 Tantièmes Les tantièmes, jetons de présence et autres rétributions similaires qu’un résident d’un Etat contractant reçoit en sa qualité de membre du conseil d’administration ou</w:t>
      </w:r>
    </w:p>
    <w:p>
      <w:r>
        <w:t>Doubles impositions 1581 de surveillance ou d’un organe similaire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 positions des art. 7, 14 et 15, dans l’Etat contractant où les activités de l’artiste ou du sportif sont exercées. Les dispositions de ce paragraphe ne sont pas applicables s’il est établi que ni l’artiste, ni le sportif ni des personnes qui lui sont associées participent directement aux bénéfices de cette autre personne. 3. Les dispositions des par. 1 et 2 ne s’appliquent pas aux revenus des activités d’un artiste du spectacle ou d’un sportif, lorsque ces revenus proviennent directement ou indirectement, pour une part essentielle, de fonds publics. Art. 18 Pensions Sous réserve des dispositions du par. 2 de l’art. 19, les pensions et autres rémunéra- tions similaires, payées à un résident d’un Etat contractant au titre d’un emploi antérieur, ne sont imposables que dans cet Etat. Art. 19 Fonctions publiques 1. a) Les rémunérations, autres que les pensions, payées par un Etat contractant ou l’une de ses subdivisons politiques ou collectivités locales à une personne physique, au titre de services rendus à cet Etat ou à cette subdivision ou collectivité, ne sont imposables que dans cet Etat.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w:t>
      </w:r>
    </w:p>
    <w:p>
      <w:r>
        <w:t>Doubles impositions 1582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3. Les dispositions du présent article ne s’appliquent pas aux impôts à la source prélevés sur les gains de loterie.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w:t>
      </w:r>
    </w:p>
    <w:p>
      <w:r>
        <w:t>Doubles impositions 1583 3. La fortune constituée par des navires, des aéronefs et des véhicules routiers ex- ploités en trafic international par une entreprise qui est un résident d’un Etat con- tractant, ainsi que par des biens mobiliers affectés à l’exploitation de ces navires, aéronefs ou véhicules routiers, n’est imposable que dans cet Etat. 4. Tous les autres éléments de la fortune d’un résident d’un Etat contractant ne sont imposables que dans cet Etat. Art. 23 Elimination des doubles impositions 1. En ce qui concerne la Suisse, la double imposition est évitée de la manière sui- vante: a) Lorsqu’un résident de Suisse reçoit des revenus ou possède de la fortune qui, conformément aux dispositions de la présente Convention, sont impo- sables en Ukraine, la Suisse exempte de l’impôt ces revenus ou cette fortune, sous réserve des dispositions de la let. b), mais peut, pour calculer le mon- tant de l’impôt sur le reste des revenus ou de la fortune de ce résident, appli- quer le même taux que si les revenus ou la fortune concernés n’avaient pas été exemptés. b) Lorsqu’un résident de Suisse reçoit des dividendes, intérêts ou redevances, qui, conformément aux dispositions des art. 10, 11 ou 12, sont imposables en Ukraine, la Suisse accorde un dégrèvement à ce résident à sa demande. Ce dégrèvement consiste: (i) en l’imputation de l’impôt payé en Ukraine conformément aux disposi- tions des art. 10, 11 et 12, sur l’impôt qui frappe les revenus de ce rési- dent; la somme ainsi imputée ne peut toutefois excéder la fraction de l’impôt suisse, calculé avant l’imputation, correspondant aux revenus imposables en Ukraine; ou (ii) en une réduction forfaitaire de l’impôt suisse; ou (iii) en une exemption partielle des dividendes, intérêts ou redevances en question de l’impôt suisse, mais au moins en une déduction de l’impôt payé en Ukraine du montant brut des dividendes, intérêts ou redevan- ces. La Suisse détermine le genre de dégrèvement et règle la procédure selon les prescriptions suisses concernant l’exécution des conventions internationales conclues par la Confédération en vue d’éviter les doubles impositions. c) Une société qui est un résident de Suisse et reçoit des dividendes d’une so- ciété qui est un résident de l’Ukraine bénéficie, pour l’application de l’impôt suisse frappant ces dividendes, des mêmes avantages que ceux dont elle bé- néficierait si la société qui paie les dividendes était un résident de Suisse. 2. En ce qui concerne l’Ukraine, la double imposition est évitée de la manière sui- vante: a) Sous réserve des dispositions du droit ukrainien concernant l’imputation des impôts payés en dehors de l’Ukraine (qui n’affectent pas le principe général suivant), l’impôt suisse sur les bénéfices, le revenu ou la fortune imposable</w:t>
      </w:r>
    </w:p>
    <w:p>
      <w:r>
        <w:t>Doubles impositions 1584 de source suisse payé directement ou par déduction conformément au droit suisse et à la présente Convention est porté en déduction de tout impôt ukrainien dû à raison des mêmes bénéfices, revenu et fortune sur lesquels l’impôt suisse a été prélevé. b) Cette déduction ne peut toutefois excéder la fraction de l’impôt sur le revenu ou sur la fortune calculé avant déduction, correspondant au revenu ou à la fortune qui sont imposables en Suisse. c) Lorsque, conformément à la présente Convention, les revenus qu’un résident de l’Ukraine reçoit ou la fortune qu’il possède sont exempts d’impôt dans cet Etat, l’Ukraine peut néanmoins, pour calculer le montant de l’impôt sur le reste des revenus ou de la fortune de ce résident, tenir compte des revenus ou de la fortune exemptés. 3. Aux fins des par. 1 et 2 du présent article, les bénéfices, les revenus et les gains en capital réalisés par une personne qui est un résident d’un Etat contractant et qui sont imposables dans l’autre Etat contractant conformément à la présente Conven- tion sont considérés comme provenant de cet autre Etat contractant.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Les apatrides qui sont des résidents d’un Etat contractant ne sont soumis dans l’un ou l’autre Etat contractant à aucune imposition ou obligation y relative, qui est autre ou plus lourde que celles auxquelles sont ou pourront être assujettis les natio- naux de l’Etat concerné qui se trouvent dans la même situation. 3. L’imposition d’un établissement stable qu’une entreprise d’un Etat contractant a dans l’autre Etat contractant n’est pas établie dans cet autre Etat d’une façon moins favorable que l’imposition des entreprises de cet autre Etat qui exercent la même activité. 4. A moins que les dispositions de l’art. 9, du par. 8 de l’art. 11 ou du par. 8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w:t>
      </w:r>
    </w:p>
    <w:p>
      <w:r>
        <w:t>Doubles impositions 1585 ou obligation y relative, qui est autre ou plus lourde que celles auxquelles sont ou pourront être assujetties les autres entreprises similaires du premier Etat. 6. Le présent article ne peut être interprété comme obligeant un Etat contractant à accorder aux personnes physiques qui ne sont pas des résidents de cet Etat les dé- ductions personnelles, abattements et réductions d’impôt qu’il accorde à ses rési- dents (personnes physiques) aux conditions prévues par sa législation. 7.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perception des impôts auxquels s’applique la présente Convention. Il ne pourra pas être échangé de renseignements qui dévoileraient un secret commercial, d’affaires, bancaire, industriel ou professionnel ou un procédé commercial.</w:t>
      </w:r>
    </w:p>
    <w:p>
      <w:r>
        <w:t>Doubles impositions 1586 2. Les dispositions du présent article ne peuvent en aucun cas être interprétées comme imposant à un Etat contractant l’obligation de prendre des mesures adminis- tratives dérogeant à sa législation et à sa pratique administrative ou à celles de l’autre Etat contractant ou qui seraient contraire à sa souveraineté, à sa sécurité, ou à l’ordre public, ou de transmettre des renseignements qui ne peuvent être obtenus sur la base de sa propre législation ou de celle de l’Etat qui les demande. Art. 27 Membres des missions diplomatiques et postes consulaires Les dispositions de la présente Convention ne portent pas atteinte aux privilèges fiscaux dont bénéficient les agents diplomatiques ou les fonctionnaires consulaires en vertu soit des règles générales du droit international, soit des dispositions d’accords particuliers. Art. 28 Entrée en vigueur 1. Les Etats contractants se notifieront réciproquement, par la voie diplomatique, l’achèvement des procédures légales nationales nécessaires à l’entrée en vigueur de la présente Convention. La présente Convention entrera en vigueur à la date de réception de la dernière de ces notifications et ses dispositions seront applicables: a) à l’égard des impôts retenus à la source sur les revenus payés à partir du 1er janvier de l’année civile suivant l’entrée en vigueur de la Convention; b) à l’égard des autres impôts pour les années ou périodes fiscales commençant le 1er janvier de l’année civile suivant l’entrée en vigueur de la Convention. 2. a) La convention du 5 septembre 1986 entre la Confédération suisse et l’Union des Républiques socialistes soviétiques relative à des questions fiscales cesse de s’appliquer aux relations entre la Suisse et l’Ukraine dès l’entrée en vi- gueur de la présente Convention; b) L’échange de notes du 18 janvier 1968 entre l’Ambassade de Suisse et le Ministère soviétique des Affaires étrangères concernant l’imposition des en- treprises de navigation maritime ou aérienne cesse de s’appliquer aux rela- tions entre la Suisse et l’Ukraine dès l’entrée en vigueur de la présente Con- vention.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les montants payés à partir du 1er janvier de l’année civile suivant la dénonciation; b) à l’égard des autres impôts pour les années ou périodes fiscales commençant le 1er janvier de l’année civile suivant la dénonciation.</w:t>
      </w:r>
    </w:p>
    <w:p>
      <w:r>
        <w:t>Doubles impositions 1587 En foi de quoi, les soussignés, dûment autorisés, ont signé la présente Convention. Fait en deux exemplaires à Kiev, le 30 octobre 2000, en langues allemande, ukrai- nienne et anglaise, chaque texte faisant également foi. En cas d’interprétation diffé- rente des textes, le texte anglais fera foi. Pour le Conseil fédéral suisse: Pour le Gouvernement de l’Ukraine: Joseph Deiss Mykola Azarov</w:t>
      </w:r>
    </w:p>
    <w:p>
      <w:r>
        <w:t>Doubles impositions 1588 Traduction2 Protocole Le Conseil fédéral suisse et le Gouvernement de l’Ukraine sont convenus, lors de la signature à Kiev, le 30 octobre 2000, de la Convention entre les deux Etats en vue d’éviter les doubles impositions en matière d’impôts sur le revenu et sur la fortune, des dispositions suivantes qui font partie intégrante de cette Convention: 1. En ce qui concerne l’art. 2 Eu égard à l’art. 2, par. 3, let. b), (ii), il est entendu que l’expression «impôt person- nel sur le revenu» désigne l’impôt qui est prélevé conformément au décret du Cabi- net des ministres de l’Ukraine du 26 décembre 1992 no 13-92 («Impôt sur le revenu des citoyens») ou à une loi qui modifierait ou remplacerait ce décret. 2. En ce qui concerne l’art. 7 S’agissant de l’application des par. 1 et 2 de l’art. 7, lorsqu’une entreprise d’un Etat contractant vend des biens ou des marchandises ou exerce une activité dans l’autre Etat contractant par l’intermédiaire d’un établissement stable qui y est situé, les bénéfices de cet établissement stable ne sont pas calculés sur la base du montant total reçu par l’entreprise, mais uniquement sur la part des recettes totales qui est imputable à l’activité réelle de l’établissement stable pour ces ventes ou cette acti- vité. Dans les cas de contrats de surveillance, de fourniture, d’installation ou de cons- truction d’équipements ou d’établissements industriels, commerciaux ou scientifi- ques, ou d’ouvrages publics, lorsque l’entreprise a un établissement stable, les bé- néfices de cet établissement stable ne sont pas déterminés sur la base du montant total du contrat, mais seulement sur la base de la part du contrat qui est effective- ment exécutée par cet établissement stable dans l’Etat où l’établissement stable est situé. Les bénéfices afférents à la part du contrat exécutée par le siège de l’entreprise ne sont imposables que dans l’Etat dont cette entreprise est un résident. Eu égard à l’art. 7, par. 3, il est entendu que l’expression «peuvent être imputées raisonnablement à cet établissement stable», relative aux dépenses dont la déduction est autorisée pour déterminer le bénéfice d’un établissement stable, doit être inter- prétée de la manière suivante: 2 Traduction du texte original allemand.</w:t>
      </w:r>
    </w:p>
    <w:p>
      <w:r>
        <w:t>Doubles impositions 1589 Une charge particulière encourue par une entreprise peut être considérée comme encourue par un de ses établissements stables dans la mesure où cette charge est à l’origine liée à l’exécution d’une fonction dont le but direct est la vente d’un bien spécifique ou la prestation de services, à savoir la réalisation d’un bénéfice, par cet établissement stable. Toutefois, si en raison des particularités du cas d’espèce il s’avère qu’une charge est à l’origine encourue dans l’exécution d’une fonction dont le but principal est de rationaliser les charges globales de l’entreprise ou d’augmenter son chiffre d’affaires en général, cette charge ne peut être considérée comme exclusivement attribuable à l’établissement stable. Lors de la détermination des bénéfices de l’établissement stable, seule la part de cette charge résultant d’une correcte répartition entre les différentes parties de l’entreprise peut être admise comme charge déductible. Lorsqu’elles appliquent ces principes, les autorités compétentes peuvent tenir compte de la nature particulière de certaines charges et, si nécessaire, procéder à une répartition raisonnable dans le cadre d’une procédure amiable; il sera tenu compte du caractère bilatéral d’une telle répartition. 3. En ce qui concerne les art. 7 et 12 Il est entendu que les rémunérations versées en contrepartie de l’usage ou de la concession de l’usage d’équipements industriels, commerciaux ou scientifiques constituent des bénéfices de l’entreprise au sens de l’art. 7. 4. En ce qui concerne les art. 18 et 19 Il est entendu que le terme «pensions» utilisés aux art. 18 et 19 ne désigne pas seu- lement les versements périodiques, mais également les prestations en capital. Fait en deux exemplaires à Kiev, le 30 octobre 2000, en langues allemande, ukrai- nienne et anglaise, chaque texte faisant également foi. En cas d’interprétation diffé- rente entre les textes, le texte anglais fera foi. Pour le Conseil fédéral suisse: Pour le Gouvernement de l’Ukraine: Joseph Deiss Mykola Azarov</w:t>
      </w:r>
    </w:p>
    <w:p>
      <w:r>
        <w:t>Schweizerisches Bundesarchiv, Digitale Amtsdruckschriften Archives fédérales suisses, Publications officielles numérisées Archivio federale svizzero, Pubblicazioni ufficiali digitali Convention entre le Conseil fédéral suisse et le Gouvernement de l'Ukraine en vue d'éviter les doubles impositions en matière d'impôts sur le revenu et sur la fortune In Bundesblatt Dans Feuille fédérale In Foglio federale Jahr 2001 Année Anno Band 1 Volume Volume Heft 19 Cahier Numero Geschäftsnummer --- Numéro d'affaire Numero dell'oggetto Datum 15.05.2001 Date Data Seite 1570-1589 Page Pagina Ref. No</w:t>
      </w:r>
    </w:p>
    <w:p>
      <w:r>
        <w:rPr>
          <w:b/>
        </w:rPr>
        <w:t>E. 10</w:t>
      </w:r>
    </w:p>
    <w:p>
      <w:r>
        <w:t>125 372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