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1516 2001-0747 vom 8. Mai 2001</w:t>
      </w:r>
    </w:p>
    <w:p>
      <w:r>
        <w:t>Bundesverwaltung, 2001-05-08, DE</w:t>
      </w:r>
    </w:p>
    <w:p>
      <w:r>
        <w:rPr>
          <w:b/>
        </w:rPr>
        <w:t xml:space="preserve">Quelle: </w:t>
      </w:r>
      <w:r>
        <w:t>https://mcp.opencaselaw.ch/entscheid/ch_vb_1516_2001-0747</w:t>
      </w:r>
    </w:p>
    <w:p>
      <w:r>
        <w:t>FR: CH_VB 1516 2001-0747 du 8 mai 2001</w:t>
      </w:r>
    </w:p>
    <w:p>
      <w:r>
        <w:t>IT: CH_VB 1516 2001-0747 del 8 maggio 2001</w:t>
      </w:r>
    </w:p>
    <w:p>
      <w:pPr>
        <w:pStyle w:val="Heading2"/>
      </w:pPr>
      <w:r>
        <w:t>Erwägungen</w:t>
      </w:r>
    </w:p>
    <w:p>
      <w:r>
        <w:rPr>
          <w:b/>
        </w:rPr>
        <w:t>E. 1</w:t>
      </w:r>
    </w:p>
    <w:p>
      <w:r>
        <w:t>Nom de la maison de jeu: Casino Chesery</w:t>
      </w:r>
    </w:p>
    <w:p>
      <w:r>
        <w:rPr>
          <w:b/>
        </w:rPr>
        <w:t>E. 2</w:t>
      </w:r>
    </w:p>
    <w:p>
      <w:r>
        <w:t>Lieu d’exploitation de la maison de jeu: Gstaad</w:t>
      </w:r>
    </w:p>
    <w:p>
      <w:r>
        <w:rPr>
          <w:b/>
        </w:rPr>
        <w:t>E. 3</w:t>
      </w:r>
    </w:p>
    <w:p>
      <w:r>
        <w:t>Type de concession demandé: Type B</w:t>
      </w:r>
    </w:p>
    <w:p>
      <w:r>
        <w:rPr>
          <w:b/>
        </w:rPr>
        <w:t>E. 4</w:t>
      </w:r>
    </w:p>
    <w:p>
      <w:r>
        <w:t>Forme juridique de la maison de jeu: société anonyme</w:t>
      </w:r>
    </w:p>
    <w:p>
      <w:r>
        <w:rPr>
          <w:b/>
        </w:rPr>
        <w:t>E. 5</w:t>
      </w:r>
    </w:p>
    <w:p>
      <w:r>
        <w:t>Nom du concessionnaire d’implantation et d’exploitation: – Casino Chesery AG</w:t>
      </w:r>
    </w:p>
    <w:p>
      <w:r>
        <w:rPr>
          <w:b/>
        </w:rPr>
        <w:t>E. 6</w:t>
      </w:r>
    </w:p>
    <w:p>
      <w:r>
        <w:t>Principaux rapports de participation: Moag Holding AG, Gstaad, 39,9 %; A. Werren AG, Gstaad 15,0 %; Gottfried Hauswirth, Saanenmöser 15,0 %; Max Moratti, Rougemont 20,0 %; Mario Moratti, Saanen 10,0 %; Erwin Cresta, Staad 0,1 %;</w:t>
      </w:r>
    </w:p>
    <w:p>
      <w:r>
        <w:rPr>
          <w:b/>
        </w:rPr>
        <w:t>E. 7</w:t>
      </w:r>
    </w:p>
    <w:p>
      <w:r>
        <w:t>Partenaires commerciaux les plus importants: Casino Ostschweiz AG, Lachen (fournisseur du Know how), en relation avec Xanadu Entertainment Ltd.</w:t>
      </w:r>
    </w:p>
    <w:p>
      <w:r>
        <w:rPr>
          <w:b/>
        </w:rPr>
        <w:t>E. 8</w:t>
      </w:r>
    </w:p>
    <w:p>
      <w:r>
        <w:t>Eléments principaux du rapport sur l’impact économique: – Création de nouveaux emplois: 25 – Emplois à temps complet et nouveaux emplois résultant indirectement, total: 50 – Recettes fiscales en faveur de la Commune et du Canton: 1,431 million – Recettes fiscales en faveur de la Confédération (y compris l’impôt sur les maisons de jeu 1,128 million – Accroissement du pouvoir d’achat grâce aux visiteurs étrangers 2,0 millions – Investissement unique en faveur de la région 1,8 million – Prestations anticipées en faveur de la région, par année 1,4 million – Demande générale accrue par année, effet multiplicateur inclus 3,0 millions</w:t>
      </w:r>
    </w:p>
    <w:p>
      <w:r>
        <w:rPr>
          <w:b/>
        </w:rPr>
        <w:t>E. 9</w:t>
      </w:r>
    </w:p>
    <w:p>
      <w:r>
        <w:t>Jeux proposés: 50 appareils à sous et 2 tables de jeu (1 Roulette américaine, 1 Black jack)</w:t>
      </w:r>
    </w:p>
    <w:p>
      <w:r>
        <w:rPr>
          <w:b/>
        </w:rPr>
        <w:t>E. 10</w:t>
      </w:r>
    </w:p>
    <w:p>
      <w:r>
        <w:t>Exploitations annexes: bar</w:t>
      </w:r>
    </w:p>
    <w:p>
      <w:r>
        <w:rPr>
          <w:b/>
        </w:rPr>
        <w:t>E. 11</w:t>
      </w:r>
    </w:p>
    <w:p>
      <w:r>
        <w:t>Enumération des moyens investis dans des projets d’intérêt général ou d’utilité publique: 10 % du bénéfice de la société après impôt au développement culturel 10 % du bénéfice à d’autres oeuvres d’utilité publique</w:t>
      </w:r>
    </w:p>
    <w:p>
      <w:r>
        <w:t>1525 II Les demandes subsidiaires de concession définitive de type B des kursaals au bénéfice d’une concession provisoire de type B au sens de l’art. 61, al. 2, LMJ qui ont déjà déposé, au 30 septembre 2000, une demande de concession A. – Casino Bern – Casinò di Locarno – Casino de Saxon</w:t>
      </w:r>
    </w:p>
    <w:p>
      <w:r>
        <w:t>Schweizerisches Bundesarchiv, Digitale Amtsdruckschriften Archives fédérales suisses, Publications officielles numérisées Archivio federale svizzero, Pubblicazioni ufficiali digitali Publication des demandes de concession de maisons de jeu In Bundesblatt Dans Feuille fédérale In Foglio federale Jahr 2001 Année Anno Band 1 Volume Volume Heft 18 Cahier Numero Geschäftsnummer --- Numéro d'affaire Numero dell'oggetto Datum 08.05.2001 Date Data Seite 1516-1525 Page Pagina Ref. No 10 125 359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