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150000314 vom 30. März 2015</w:t>
      </w:r>
    </w:p>
    <w:p>
      <w:r>
        <w:t>Bundesverwaltung, 2015-03-30, DE</w:t>
      </w:r>
    </w:p>
    <w:p>
      <w:r>
        <w:rPr>
          <w:b/>
        </w:rPr>
        <w:t xml:space="preserve">Quelle: </w:t>
      </w:r>
      <w:r>
        <w:t>https://mcp.opencaselaw.ch/entscheid/ch_vb_150000314</w:t>
      </w:r>
    </w:p>
    <w:p>
      <w:r>
        <w:t>FR: CH_VB 150000314 du 30 mars 2015</w:t>
      </w:r>
    </w:p>
    <w:p>
      <w:r>
        <w:t>IT: CH_VB 150000314 del 30 marzo 2015</w:t>
      </w:r>
    </w:p>
    <w:p>
      <w:pPr>
        <w:pStyle w:val="Heading2"/>
      </w:pPr>
      <w:r>
        <w:t>Erwägungen</w:t>
      </w:r>
    </w:p>
    <w:p>
      <w:r>
        <w:rPr>
          <w:b/>
        </w:rPr>
        <w:t>E. 1</w:t>
      </w:r>
    </w:p>
    <w:p>
      <w:r>
        <w:t>Die neue Bundesverfassung garantiert die Gemeindeautonomie (Art. 50 BV). Daraus erwächst den Kantonen indes keine Verpflichtung, Gemeinden einzurichten oder zu erhalten. Die Kantone sind viel- mehr autonom, ihr Gebiet so zu organisieren, wie sie es für sinnvoll halten (Art. 47 Abs. 2 BV). In for- meller Hinsicht ist zu beachten, dass die Gemeinden vor beabsichtigten Gebietsänderungen zu konsul- tieren sind (Art. 4 Ziff. 6 und Art. 5 der Europäischen Charta der kommunalen Selbstverwaltung).</w:t>
      </w:r>
    </w:p>
    <w:p>
      <w:r>
        <w:rPr>
          <w:b/>
        </w:rPr>
        <w:t>E. 2</w:t>
      </w:r>
    </w:p>
    <w:p>
      <w:r>
        <w:t>In der Wahl seines Namens ist der Kanton frei; der Kanton Schaffhausen könnte sich bei einer Ver- schmelzung der Gemeinde- mit der Kantonsebene «Kanton und Gemeinde Schaffhausen» nennen.</w:t>
      </w:r>
    </w:p>
    <w:p>
      <w:r>
        <w:rPr>
          <w:b/>
        </w:rPr>
        <w:t>E. 3</w:t>
      </w:r>
    </w:p>
    <w:p>
      <w:r>
        <w:t>Bei einer Aufhebung der Gemeindeebene könnte kein Gemeindebürgerrecht mehr vergeben wer- den.</w:t>
      </w:r>
    </w:p>
    <w:p>
      <w:r>
        <w:rPr>
          <w:b/>
        </w:rPr>
        <w:t>E. 4</w:t>
      </w:r>
    </w:p>
    <w:p>
      <w:r>
        <w:t>Gibt es Bestimmungen des Bundesrechts, die zwingend das Vorhandensein von Gemeinden vorschreiben oder können diese Aufgaben (durch den kantonalen Gesetzgeber) unter voll- ständiger Aufhebung der kommunalen Ebene dem Kanton übertragen werden? Das Bundesrecht geht zwar verschiedentlich davon aus, dass es Gemeinden gibt. Gemeinden werden deshalb verschiedentlich in der Bundesverfassung erwähnt (neben Art. 50 BV in Art. 37, Bürgerrecht; Art. 75b, Zweitwohnungen; Art. 89, Energiepolitik; Art. 100, Konjunkturpolitik; Art. 128, 129 und 134, Steuern; Art. 189, Autonomiebeschwerde). Gleiches gilt für die Bundesgesetzgebung, wo Gemeinden z.B. im Bürgerrechtsgesetz, im Militärgesetz, im AHV-Gesetz, im Krankenversicherungsgesetz oder im Raumplanungsgesetz Erwähnung finden. Die Nennung der Gemeinden in der Bundesgesetzgebung schafft aber keine Pflicht, Gemeinden vorzusehen; sie ist also nicht als bundesrechtliche Beschränkung der Organisationsautonomie der Kantone zu verstehen. Wie wir schon eingangs zu Frage 1 ausgeführt haben, sind die Kantone frei, Gemeinden vorzusehen oder nicht. Soweit im Bundesrecht Gemeinden erwähnt werden, wären damit im Falle der Abschaffung der Ge- meinden in einem Kanton mangels anderer Behörden die Kantonsbehörden angesprochen. Die Ge- meindeaufgaben würden also direkt vom Kanton wahrgenommen werden. Dieser wäre frei darin, diese Aufgaben an weitere Behörden oder Körperschaften zu übertragen. Im Kanton Appenzell werden die Aufgaben, die traditionellerweise Gemeinden wahrnehmen, von den Bezirksbehörden als unterster Ver- waltungsebene wahrgenommen; daneben gibt es wie erwähnt zwei Zivilstandskreise, eine Kirch- und eine Schulgemeinde sowie eine Feuerschaugemeinde für den erweiterten Dorfkreis Appenzell, der zu den Bezirken Appenzell, Schwende und Rüte gehört. Die kantonale Organisationsautonomie erlaubt diese Lösungen. Das föderalistische Labor funktioniert mit anderem Worten im Bereich der innerstaat- lichen Organisation der Kantone noch, und die Kantone sind frei, verschiedene Möglichkeiten zu erpro- ben.</w:t>
      </w:r>
    </w:p>
    <w:p>
      <w:r>
        <w:t>Schweizerisches Bundesarchiv, Digitale Amtsdruckschriften Archives fédérales suisses, Publications officielles numérisées Archivio federale svizzero, Pubblicazioni ufficiali digitali JAAC 2015.1 - Strukturreform im Kanton Schaffhausen; Zulässigkeit der Übertragung der Aufgaben der Gemeinden an den Kanton In Verwaltungspraxis der Bundesbehörden Dans Jurisprudence des autorités administratives de la Confédération In Giurisprudenza delle autorità amministrative della Confederazione Jahr 2015 Année Anno Band - Volume Volume Seite 1-4 Page Pagina Ref. No 150 000 314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