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148 2003-0019 vom 21. Januar 2003</w:t>
      </w:r>
    </w:p>
    <w:p>
      <w:r>
        <w:t>Bundesverwaltung, 2003-01-21, DE</w:t>
      </w:r>
    </w:p>
    <w:p>
      <w:r>
        <w:rPr>
          <w:b/>
        </w:rPr>
        <w:t xml:space="preserve">Quelle: </w:t>
      </w:r>
      <w:r>
        <w:t>https://mcp.opencaselaw.ch/entscheid/ch_vb_148_2003-0019</w:t>
      </w:r>
    </w:p>
    <w:p>
      <w:r>
        <w:t>FR: CH_VB 148 2003-0019 du 21 janvier 2003</w:t>
      </w:r>
    </w:p>
    <w:p>
      <w:r>
        <w:t>IT: CH_VB 148 2003-0019 del 21 gennaio 2003</w:t>
      </w:r>
    </w:p>
    <w:p>
      <w:pPr>
        <w:pStyle w:val="Heading2"/>
      </w:pPr>
      <w:r>
        <w:t>Volltext</w:t>
      </w:r>
    </w:p>
    <w:p>
      <w:r>
        <w:t>148 2003-0019 Demandes d’octroi de permis concernant la durée du travail Permis de travail de nuit (travail en 2 équipes) (Art. 17 LTr) – 02-1086 / 100350 BAUMGARTNER Fibertec SA, 1023 Crissier plate-forme de Crissier (rte de Bussigny 31) pour le commerce de papier: gestion des arrivages et gestion des départs horaire d’exploitation indispensable pour des raisons économiques 7 A 23.12.2002–04.10.2003 (Modification) Permis de travail de nuit et du dimanche (Art. 17 et 19 LTr) – 02-1057 / 101658 British American Tobacco Switzerland SA, 2926 Boncourt fabrication de cigarettes (production – logistique – maintenance) horaire d’exploitation indispensable pour des raisons économiques 175 A 15.12.2002–16.04.2005 (Modification) Permis de travail de nuit et du dimanche (Art. 17, 19 et 28 LTr) – Permis global pour les travailleurs des cliniques et hôpitaux dans toute la Suisse Cliniques et hôpitaux horaire d’exploitation indispensable pour des raisons économiques 01.02.2003–31.12.2003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21 janvier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02 Cahier Numero Geschäftsnummer --- Numéro d'affaire Numero dell'oggetto Datum 21.01.2003 Date Data Seite 148-148 Page Pagina Ref. No 10 126 932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