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1410 vom 1. Juni 1983</w:t>
      </w:r>
    </w:p>
    <w:p>
      <w:r>
        <w:t>Bundesverwaltung, 1983-06-01, DE</w:t>
      </w:r>
    </w:p>
    <w:p>
      <w:r>
        <w:rPr>
          <w:b/>
        </w:rPr>
        <w:t xml:space="preserve">Quelle: </w:t>
      </w:r>
      <w:r>
        <w:t>https://mcp.opencaselaw.ch/entscheid/ch_vb_1410</w:t>
      </w:r>
    </w:p>
    <w:p>
      <w:r>
        <w:t>FR: CH_VB 1410 du 1 juin 1983</w:t>
      </w:r>
    </w:p>
    <w:p>
      <w:r>
        <w:t>IT: CH_VB 1410 del 1 giugno 1983</w:t>
      </w:r>
    </w:p>
    <w:p>
      <w:pPr>
        <w:pStyle w:val="Heading2"/>
      </w:pPr>
      <w:r>
        <w:t>Erwägungen</w:t>
      </w:r>
    </w:p>
    <w:p>
      <w:r>
        <w:rPr>
          <w:b/>
        </w:rPr>
        <w:t>E. 1</w:t>
      </w:r>
    </w:p>
    <w:p>
      <w:r>
        <w:t>Münchenbuchsee BE Route principale n° 238, Schönbrunnen-Schönbühl, tronçon Schön- brunnen-Moospinte, coord 599450/209190 et 599500/209220 jus- qu'aux coord 601 590/208 720 et coord 601190/209 380: - Interdiction pour les véhicules à chenilles (chars de grenadiers inclus) du 1er mai 1991 au 31 août 1992.</w:t>
      </w:r>
    </w:p>
    <w:p>
      <w:r>
        <w:rPr>
          <w:b/>
        </w:rPr>
        <w:t>E. 2</w:t>
      </w:r>
    </w:p>
    <w:p>
      <w:r>
        <w:t>Ranflüh BE Route de détournement n° 243, Ramsei-Zollbrück, détournement de Ranflüh coord 622 525/204 380 jusqu'aux coord 622 950/203 380: - Interdiction pour les véhicules à chenilles (chars de grenadiers inclus) du 1er mai 1991 au 31 août 1992.</w:t>
      </w:r>
    </w:p>
    <w:p>
      <w:r>
        <w:rPr>
          <w:b/>
        </w:rPr>
        <w:t>E. 3</w:t>
      </w:r>
    </w:p>
    <w:p>
      <w:r>
        <w:t>Frutigen BE Route principale n° 223, Spiez-Frutigen, tronçon Rüdlen-Frutigen coord 618 675/163 050 jusqu'aux coord 616 325/159150 et coord 616 380/159 250: - Interdiction pour les véhicules à chenilles (chars de grenadiers inclus) du 1er mai 1991 au 31 août 1992. ') RS 510.710 1991-206 1411</w:t>
      </w:r>
    </w:p>
    <w:p>
      <w:r>
        <w:t>Mesures concernant la circulation militaire II 1. Un recours peut être déposé contre ces mesures de la circulation, dans un délai de trente jours à partir de leur publication dans les Feuilles Officielles des cantons concernés auprès du Département militaire fédéral selon l'article 44 ss de la loi fédérale sur la procédure administrative l\ 2. La présente décision entre en vigueur dès que les signaux correspondants seront placés. 15 mars 1991 Office fédéral des troupes de transport: Le directeur, Pulver 34374 ') RS 172.021 1412</w:t>
      </w:r>
    </w:p>
    <w:p>
      <w:r>
        <w:t>Notification (Art. 64 de la loi fédérale sur le droit pénal administratif [DPA]) Vu le procès-verbal final dressé contre vous le 28 novembre 1990, la Direction des douanes de Genève vous a condamné par mandat de répression du 7 mars 1991, en vertu des articles 74, chiffre 16, et 87 de la loi sur les douanes ainsi que des articles 52 et 53 de l'arrêté du Conseil fédéral instituant un impôt sur le chiffre d'affaires, à une amende de 450 francs et a mis à votre charge un émolument de décision de 70 francs (somme totale due: 520 fr.). Une opposition au mandat de répression peut être déposée auprès de la Direction générale des douanes, 3003 Berne, dans les 30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Dans cette éventualité, vous êtes invité à verser le montant de 520 francs au compte de chèques postaux 12-271-5 de la Direction des douanes de Genève dans les 30 jours qui suivent l'entrée en force du mandat de répression. En cas de non-paiement, le montant de l'amende pourra être converti en arrêts en vertu de l'article 10 DPA. 16 avril 1991 Direction générale des douanes F34369 1413</w:t>
      </w:r>
    </w:p>
    <w:p>
      <w:r>
        <w:t>Notification (Art. 70 de la loi fédérale sur le droit pénal administratif [DPA]) Vu l'opposition que vous avez formée le 2 avril 1990 contre le mandat de répression décerné le 16 mars 1990 par la Direction des douanes de Genève, et en application des articles 87,2e alinéa, de la loi sur les douanes ainsi que des articles 34, 26 alinéa, 64, 70 et 87 de la loi sur le droit pénal administratif, la Direction générale des douanes, 3003 Berne, a décidé: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