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 2007-2866 vom 4. Dezember 2007</w:t>
      </w:r>
    </w:p>
    <w:p>
      <w:r>
        <w:t>Bundesverwaltung, 2007-12-04, DE</w:t>
      </w:r>
    </w:p>
    <w:p>
      <w:r>
        <w:rPr>
          <w:b/>
        </w:rPr>
        <w:t xml:space="preserve">Quelle: </w:t>
      </w:r>
      <w:r>
        <w:t>https://mcp.opencaselaw.ch/entscheid/ch_vb_12_2007-2866_</w:t>
      </w:r>
    </w:p>
    <w:p>
      <w:r>
        <w:t>FR: CH_VB 12 2007-2866 du 4 décembre 2007</w:t>
      </w:r>
    </w:p>
    <w:p>
      <w:r>
        <w:t>IT: CH_VB 12 2007-2866 del 4 dicembre 2007</w:t>
      </w:r>
    </w:p>
    <w:p>
      <w:pPr>
        <w:pStyle w:val="Heading2"/>
      </w:pPr>
      <w:r>
        <w:t>Erwägungen</w:t>
      </w:r>
    </w:p>
    <w:p>
      <w:r>
        <w:rPr>
          <w:b/>
        </w:rPr>
        <w:t>E. 1</w:t>
      </w:r>
    </w:p>
    <w:p>
      <w:r>
        <w:t>La demande de référendum contre la modification du 22 juin 2007 de la loi fédérale sur l’agriculture (loi sur l’agriculture, LAgr) n’a pas abouti, les 50 000 signatures valables exigées par l’art. 141, al. 1, de la Constitution n’ayant pas été recueillies dans le délai de 100 jours.</w:t>
      </w:r>
    </w:p>
    <w:p>
      <w:r>
        <w:rPr>
          <w:b/>
        </w:rPr>
        <w:t>E. 2</w:t>
      </w:r>
    </w:p>
    <w:p>
      <w:r>
        <w:t>Le 11 octobre 2007, le comité référendaire a déposé à la Chancellerie fédé- rale 37 090 signatures, dont 36 946 sont valables, dans le délai imparti (avant 18 h 00).</w:t>
      </w:r>
    </w:p>
    <w:p>
      <w:r>
        <w:rPr>
          <w:b/>
        </w:rPr>
        <w:t>E. 3</w:t>
      </w:r>
    </w:p>
    <w:p>
      <w:r>
        <w:t>Toutes les signatures déposées sont conservées sous clef et sous la garde des autorités fédérales.</w:t>
      </w:r>
    </w:p>
    <w:p>
      <w:r>
        <w:rPr>
          <w:b/>
        </w:rPr>
        <w:t>E. 4</w:t>
      </w:r>
    </w:p>
    <w:p>
      <w:r>
        <w:t>La présente décision peut faire l’objet d’un recours en matière de droit public devant le Tribunal fédéral dans les 30 jours (art. 88, al. 1, et 100, al. 1, LTF).</w:t>
      </w:r>
    </w:p>
    <w:p>
      <w:r>
        <w:rPr>
          <w:b/>
        </w:rPr>
        <w:t>E. 5</w:t>
      </w:r>
    </w:p>
    <w:p>
      <w:r>
        <w:t>Tessin 485 0 Vaud 1 639 79 Valais 176 12 Neuchâtel 894 1 Genève 1 751</w:t>
      </w:r>
    </w:p>
    <w:p>
      <w:r>
        <w:rPr>
          <w:b/>
        </w:rPr>
        <w:t>E. 7</w:t>
      </w:r>
    </w:p>
    <w:p>
      <w:r>
        <w:t>Jura 398 3</w:t>
      </w:r>
    </w:p>
    <w:p>
      <w:r>
        <w:t>Suisse 36 946 144</w:t>
      </w:r>
    </w:p>
    <w:p>
      <w:r>
        <w:t>Schweizerisches Bundesarchiv, Digitale Amtsdruckschriften Archives fédérales suisses, Publications officielles numérisées Archivio federale svizzero, Pubblicazioni ufficiali digitali Référendum contre la modification du 22 juin 2007 de la loi fédérale sur l'agriculture (loi sur l'agriculture, LAgr). Non-aboutissement In Bundesblatt Dans Feuille fédérale In Foglio federale Jahr 2007 Année Anno Band 1 Volume Volume Heft 49 Cahier Numero Geschäftsnummer --- Numéro d'affaire Numero dell'oggetto Datum 04.12.2007 Date Data Seite 7912-7914 Page Pagina Ref. No</w:t>
      </w:r>
    </w:p>
    <w:p>
      <w:r>
        <w:rPr>
          <w:b/>
        </w:rPr>
        <w:t>E. 10</w:t>
      </w:r>
    </w:p>
    <w:p>
      <w:r>
        <w:t>141 173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