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1262 2000-0040 vom 14. März 2000</w:t>
      </w:r>
    </w:p>
    <w:p>
      <w:r>
        <w:t>Bundesverwaltung, 2000-03-14, DE</w:t>
      </w:r>
    </w:p>
    <w:p>
      <w:r>
        <w:rPr>
          <w:b/>
        </w:rPr>
        <w:t xml:space="preserve">Quelle: </w:t>
      </w:r>
      <w:r>
        <w:t>https://mcp.opencaselaw.ch/entscheid/ch_vb_1262_2000-0040</w:t>
      </w:r>
    </w:p>
    <w:p>
      <w:r>
        <w:t>FR: CH_VB 1262 2000-0040 du 14 mars 2000</w:t>
      </w:r>
    </w:p>
    <w:p>
      <w:r>
        <w:t>IT: CH_VB 1262 2000-0040 del 14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L’assuré a droit à une rente d’invalidité s’il est invalide à 10 % au moins à la suite d’un accident. Art. 118, al. 5</w:t>
      </w:r>
    </w:p>
    <w:p>
      <w:r>
        <w:rPr>
          <w:b/>
        </w:rPr>
        <w:t>E. 5</w:t>
      </w:r>
    </w:p>
    <w:p>
      <w:r>
        <w:t>Si la prétention naît avant l’entrée en vigueur de la modification du . . ., la rente d’invalidité est allouée d’après l'ancien droit. II 1 La présente loi est soumise au référendum facultatif. 2 Le Conseil fédéral fixe la date de l’entrée en vigueur. Minorité (Gross, Jost, Baumann Stephanie, Fankhauser, Fasel, Goll, Hafner, Jutzet, Rechsteiner Paul, Vermot) Ne pas entrer en matière. 1 FF 2000 1253 2 FF 2000 1263 3 RS 832.20</w:t>
      </w:r>
    </w:p>
    <w:p>
      <w:r>
        <w:t>Schweizerisches Bundesarchiv, Digitale Amtsdruckschriften Archives fédérales suisses, Publications officielles numérisées Archivio federale svizzero, Pubblicazioni ufficiali digitali Loi fédérale sur l'assurance-accidents (LAA) In Bundesblatt Dans Feuille fédérale In Foglio federale Jahr 2000 Année Anno Band 1 Volume Volume Heft</w:t>
      </w:r>
    </w:p>
    <w:p>
      <w:r>
        <w:rPr>
          <w:b/>
        </w:rPr>
        <w:t>E. 10</w:t>
      </w:r>
    </w:p>
    <w:p>
      <w:r>
        <w:t>124 320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