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 2005-1020 vom 3. Mai 2005</w:t>
      </w:r>
    </w:p>
    <w:p>
      <w:r>
        <w:t>Bundesverwaltung, 2005-05-03, DE</w:t>
      </w:r>
    </w:p>
    <w:p>
      <w:r>
        <w:rPr>
          <w:b/>
        </w:rPr>
        <w:t xml:space="preserve">Quelle: </w:t>
      </w:r>
      <w:r>
        <w:t>https://mcp.opencaselaw.ch/entscheid/ch_vb_10_2005-1020_</w:t>
      </w:r>
    </w:p>
    <w:p>
      <w:r>
        <w:t>FR: CH_VB 10 2005-1020 du 3 mai 2005</w:t>
      </w:r>
    </w:p>
    <w:p>
      <w:r>
        <w:t>IT: CH_VB 10 2005-1020 del 3 maggio 2005</w:t>
      </w:r>
    </w:p>
    <w:p>
      <w:pPr>
        <w:pStyle w:val="Heading2"/>
      </w:pPr>
      <w:r>
        <w:t>Volltext</w:t>
      </w:r>
    </w:p>
    <w:p>
      <w:r>
        <w:t>2710 2005-1020 Exécution de la loi fédérale sur la formation professionnelle L’Association Suisse pour la formation professionnelle en logistique (ASFL) a déposé un projet de règlement concernant l’examen professionnel de logisticien en stockage/logisticienne en stockage,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 mai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17 Cahier Numero Geschäftsnummer --- Numéro d'affaire Numero dell'oggetto Datum 03.05.2005 Date Data Seite 2710-2710 Page Pagina Ref. No 10 138 606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