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1088 2001-0350 vom 8. Januar 2001</w:t>
      </w:r>
    </w:p>
    <w:p>
      <w:r>
        <w:t>Bundesverwaltung, 2001-01-08, DE</w:t>
      </w:r>
    </w:p>
    <w:p>
      <w:r>
        <w:rPr>
          <w:b/>
        </w:rPr>
        <w:t xml:space="preserve">Quelle: </w:t>
      </w:r>
      <w:r>
        <w:t>https://mcp.opencaselaw.ch/entscheid/ch_vb_1088_2001-0350</w:t>
      </w:r>
    </w:p>
    <w:p>
      <w:r>
        <w:t>FR: CH_VB 1088 2001-0350 du 8 janvier 2001</w:t>
      </w:r>
    </w:p>
    <w:p>
      <w:r>
        <w:t>IT: CH_VB 1088 2001-0350 del 8 gennaio 2001</w:t>
      </w:r>
    </w:p>
    <w:p>
      <w:pPr>
        <w:pStyle w:val="Heading2"/>
      </w:pPr>
      <w:r>
        <w:t>Erwägungen</w:t>
      </w:r>
    </w:p>
    <w:p>
      <w:r>
        <w:rPr>
          <w:b/>
        </w:rPr>
        <w:t>E. 6</w:t>
      </w:r>
    </w:p>
    <w:p>
      <w:r>
        <w:t>ho ou f</w:t>
      </w:r>
    </w:p>
    <w:p>
      <w:r>
        <w:rPr>
          <w:b/>
        </w:rPr>
        <w:t>E. 8</w:t>
      </w:r>
    </w:p>
    <w:p>
      <w:r>
        <w:t>Ce permis est délivré uniquement sur la base des dispositions sur la durée du travail contenues dans la loi sur le travail. Son usage n'est possible que dans la mesure où d'autres dispositions de la loi sur le travail et notamment les prescriptions de police de la Confédération, des cantons et des communes ne sont pas transgressées.</w:t>
      </w:r>
    </w:p>
    <w:p>
      <w:r>
        <w:rPr>
          <w:b/>
        </w:rPr>
        <w:t>E. 9</w:t>
      </w:r>
    </w:p>
    <w:p>
      <w:r>
        <w:t>Ce permis n'autorise pas l'employeur à déroger aux accords contractuels plus avantageux pour les travailleurs.</w:t>
      </w:r>
    </w:p>
    <w:p>
      <w:r>
        <w:rPr>
          <w:b/>
        </w:rPr>
        <w:t>E. 10</w:t>
      </w:r>
    </w:p>
    <w:p>
      <w:r>
        <w:t>125 229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