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1008 2008-0412 vom 14. Juni 1993</w:t>
      </w:r>
    </w:p>
    <w:p>
      <w:r>
        <w:t>Bundesverwaltung, 1993-06-14, DE</w:t>
      </w:r>
    </w:p>
    <w:p>
      <w:r>
        <w:rPr>
          <w:b/>
        </w:rPr>
        <w:t xml:space="preserve">Quelle: </w:t>
      </w:r>
      <w:r>
        <w:t>https://mcp.opencaselaw.ch/entscheid/ch_vb_1008_2008-0412_</w:t>
      </w:r>
    </w:p>
    <w:p>
      <w:r>
        <w:t>FR: CH_VB 1008 2008-0412 du 14 juin 1993</w:t>
      </w:r>
    </w:p>
    <w:p>
      <w:r>
        <w:t>IT: CH_VB 1008 2008-0412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Martin Frey, Clinique Barmelweid, en tant que responsable et chef de projet, aux conditions et aux charges mentionnées ci-après, pour la récolte de données non anonymes selon les ch. 2 et 3. b) Une autorisation particulière de lever le secret professionnel au sens des art. 321bis CP et 2 OALSP est octroyée, aux conditions et charges mentionnées ci-après, pour la récolte de données non anonymes selon les ch. 2 et 3, au PD Dr Milo Puhan, PhD, et à Madame Ulrike Held, PhD, tous deux au centre Horten, Hôpital universitaire de Zurich. Les titulaires de l’autorisation doivent signer une déclaration sur leur obligation de garder le secret en vertu de l’art. 321bis CP et la remettre à la Commission d’experts.</w:t>
      </w:r>
    </w:p>
    <w:p>
      <w:r>
        <w:rPr>
          <w:b/>
        </w:rPr>
        <w:t>E. 2</w:t>
      </w:r>
    </w:p>
    <w:p>
      <w:r>
        <w:t>Etendue de l’autorisation particulière a) Les médecins traitants de la Clinique Barmelweid sont autorisés à donner accès aux titulaires de l’autorisation aux dossiers médicaux des patients vic- times de «COPD» qui ont été hospitalisés entre mai 2004 et décembre 2005 à la Clinique Barmelweid et dont le consentement n’a pu être obtenu, car ils sont décédés entre-temps.</w:t>
      </w:r>
    </w:p>
    <w:p>
      <w:r>
        <w:t>Les médecins généralistes des patients victimes de «COPD» qui ont été hos- pitalisés entre mai 2004 et décembre 2005 à la Clinique Barmelweid et qui sont décédés entre-temps, sont autorisés à donner accès aux titulaires de l’autorisation aux informations nécessaires collectées du vivant des patients.</w:t>
      </w:r>
    </w:p>
    <w:p>
      <w:r>
        <w:t>Ces communications de données ne doivent servir qu’au but décrit au ch. 3. b) L’octroi de l’autorisation n’engendre pour personne l’obligation de commu- niquer les données.</w:t>
      </w:r>
    </w:p>
    <w:p>
      <w:r>
        <w:t>1009</w:t>
      </w:r>
    </w:p>
    <w:p>
      <w:r>
        <w:rPr>
          <w:b/>
        </w:rPr>
        <w:t>E. 3</w:t>
      </w:r>
    </w:p>
    <w:p>
      <w:r>
        <w:t>But de la communication des données La communication de données personnelles soumises au secret professionnel au sens de l’art. 321bis CP n’est autorisée que pour le projet de recherche «Validierung des BODE-Indexes für Patienten mit einer chronisch obstruktiven Lungenerkrankung».</w:t>
      </w:r>
    </w:p>
    <w:p>
      <w:r>
        <w:rPr>
          <w:b/>
        </w:rPr>
        <w:t>E. 4</w:t>
      </w:r>
    </w:p>
    <w:p>
      <w:r>
        <w:t>Protection des données communiquées Les titulaires de l’autorisation doivent protéger les données contre 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Prof. Dr Volker Dittmann, IRM Bâle, est responsable de la protection des données communiquées.</w:t>
      </w:r>
    </w:p>
    <w:p>
      <w:r>
        <w:rPr>
          <w:b/>
        </w:rPr>
        <w:t>E. 6</w:t>
      </w:r>
    </w:p>
    <w:p>
      <w:r>
        <w:t>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d) Les résultats de l’étude ne peuvent être publiés que sous forme anonyme, c’est-à-dire qu’aucun recoupement avec les patients concernés ne doit être possible. Après la clôture du projet, un exemplaire de la publication doit être remis à la Commission d’experts pour information. e) Les titulaires de l’autorisation sont tenus d’orienter, par écrit, les médecins traitants participant au projet sur l’étendue de l’autorisation. La lettre doit indiquer que les dossiers médicaux des patients qui, de leur vivant, en ont re- fusé l’utilisation pour la recherche ne doivent pas être transmis. Avant son expédition, la lettre doit être soumise pour information au Président de la Commission d’experts, par l’intermédiaire de son secrétariat.</w:t>
      </w:r>
    </w:p>
    <w:p>
      <w:r>
        <w:rPr>
          <w:b/>
        </w:rPr>
        <w:t>E. 7</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1010</w:t>
      </w:r>
    </w:p>
    <w:p>
      <w:r>
        <w:rPr>
          <w:b/>
        </w:rPr>
        <w:t>E. 8</w:t>
      </w:r>
    </w:p>
    <w:p>
      <w:r>
        <w:t>Communication et publication La présente décision est notifiée 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 031 322 94 94).</w:t>
      </w:r>
    </w:p>
    <w:p>
      <w:r>
        <w:rPr>
          <w:b/>
        </w:rPr>
        <w:t>E. 12</w:t>
      </w:r>
    </w:p>
    <w:p>
      <w:r>
        <w:t>février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06 Cahier Numero Geschäftsnummer --- Numéro d'affaire Numero dell'oggetto Datum 12.02.2008 Date Data Seite 1008-1010 Page Pagina Ref. No 10 141 414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