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08-2815 8025 vom 25. November 2008</w:t>
      </w:r>
    </w:p>
    <w:p>
      <w:r>
        <w:t>Bundesverwaltung, 2008-11-25, DE</w:t>
      </w:r>
    </w:p>
    <w:p>
      <w:r>
        <w:rPr>
          <w:b/>
        </w:rPr>
        <w:t xml:space="preserve">Quelle: </w:t>
      </w:r>
      <w:r>
        <w:t>https://mcp.opencaselaw.ch/entscheid/ch_vb_08-2815_8025_</w:t>
      </w:r>
    </w:p>
    <w:p>
      <w:r>
        <w:t>FR: CH_VB 08-2815 8025 du 25 novembre 2008</w:t>
      </w:r>
    </w:p>
    <w:p>
      <w:r>
        <w:t>IT: CH_VB 08-2815 8025 del 25 novembre 2008</w:t>
      </w:r>
    </w:p>
    <w:p>
      <w:pPr>
        <w:pStyle w:val="Heading2"/>
      </w:pPr>
      <w:r>
        <w:t>Volltext</w:t>
      </w:r>
    </w:p>
    <w:p>
      <w:r>
        <w:t>2008-2815 8025 Allocation de subsides fédéraux pour la correction des cours d’eau Décision de l’Office fédéral de l’environnement – Canton de Vaud, communes diverses, Intempéries 2007, travaux urgents dans l’est vaudois, décision no 394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publication dans la Feuille fédérale. Le mémoire doit être déposé en deux exem- plaires et contenir les conclusions motivées ainsi que les moyens de preuve, la signa- ture du recourant ou celle de son mandataire. Quiconque pour recourir peut, pendant le délai de recours, consulter les décisions et les dossiers du projet en question, en s’adressant à l’Office fédéral de l’environ- nement, Worblentalstrasse 68, 3003 Berne, après s’être préalablement annoncé par téléphone (031 324 17 67). 25 novembre 2008 Office fédéral de l’environnement</w:t>
      </w:r>
    </w:p>
    <w:p>
      <w:r>
        <w:t>8026 Abonnement à la Feuille fédérale et au Recueil officiel</w:t>
      </w:r>
    </w:p>
    <w:p>
      <w:r>
        <w:t>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verkauf.gesetze@bbl.admin.ch.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25 novembre 2008 Chancellerie fédérale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2008 Année Anno Band 1 Volume Volume Heft 47 Cahier Numero Geschäftsnummer --- Numéro d'affaire Numero dell'oggetto Datum 25.11.2008 Date Data Seite 8025-8026 Page Pagina Ref. No 10 142 291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