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08-2564 7793 vom 15. Oktober 2008</w:t>
      </w:r>
    </w:p>
    <w:p>
      <w:r>
        <w:t>Bundesverwaltung, 2008-10-15, DE</w:t>
      </w:r>
    </w:p>
    <w:p>
      <w:r>
        <w:rPr>
          <w:b/>
        </w:rPr>
        <w:t xml:space="preserve">Quelle: </w:t>
      </w:r>
      <w:r>
        <w:t>https://mcp.opencaselaw.ch/entscheid/ch_vb_08-2564_7793_</w:t>
      </w:r>
    </w:p>
    <w:p>
      <w:r>
        <w:t>FR: CH_VB 08-2564 7793 du 15 octobre 2008</w:t>
      </w:r>
    </w:p>
    <w:p>
      <w:r>
        <w:t>IT: CH_VB 08-2564 7793 del 15 ottobre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Charles et Jacques Mauron (art. 112 ss OLMJ). Le solde de 200 francs, qui subsiste après la déduction de l’avance de frais de 300 francs en faveur de la CFMJ, doit être acquitté dans les 30 jours dès l’entrée en force de la présente déci- sion. Il sera envoyé une facture à cette fin.</w:t>
      </w:r>
    </w:p>
    <w:p>
      <w:r>
        <w:rPr>
          <w:b/>
        </w:rPr>
        <w:t>E. 4</w:t>
      </w:r>
    </w:p>
    <w:p>
      <w:r>
        <w:t>Cette décision est communiquée aux cantons et publiée dans la Feuille fédé- rale.</w:t>
      </w:r>
    </w:p>
    <w:p>
      <w:r>
        <w:rPr>
          <w:b/>
        </w:rPr>
        <w:t>E. 5</w:t>
      </w:r>
    </w:p>
    <w:p>
      <w:r>
        <w:t>Notifiée à: – Charles et Jacques Mauron, Ch. de Carroux 23, 1744 Chénens. Un recours peut être déposé contre la présente décision dans les 30 jours qui suivent la notification, auprès du Tribunal administratif fédéral, Postfach, 3000 Berne 14. 28 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Charles et Jacques Mauron In Bundesblatt Dans Feuille fédérale In Foglio federale Jahr 2008 Année Anno Band 1 Volume Volume Heft 43 Cahier Numero Geschäftsnummer --- Numéro d'affaire Numero dell'oggetto Datum 28.10.2008 Date Data Seite 7793-7793 Page Pagina Ref. No</w:t>
      </w:r>
    </w:p>
    <w:p>
      <w:r>
        <w:rPr>
          <w:b/>
        </w:rPr>
        <w:t>E. 10</w:t>
      </w:r>
    </w:p>
    <w:p>
      <w:r>
        <w:t>142 223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