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08-0883 6897 vom 21. September 2007</w:t>
      </w:r>
    </w:p>
    <w:p>
      <w:r>
        <w:t>Bundesverwaltung, 2007-09-21, DE</w:t>
      </w:r>
    </w:p>
    <w:p>
      <w:r>
        <w:rPr>
          <w:b/>
        </w:rPr>
        <w:t xml:space="preserve">Quelle: </w:t>
      </w:r>
      <w:r>
        <w:t>https://mcp.opencaselaw.ch/entscheid/ch_vb_08-0883_6897_</w:t>
      </w:r>
    </w:p>
    <w:p>
      <w:r>
        <w:t>FR: CH_VB 08-0883 6897 du 21 septembre 2007</w:t>
      </w:r>
    </w:p>
    <w:p>
      <w:r>
        <w:t>IT: CH_VB 08-0883 6897 del 21 settembre 2007</w:t>
      </w:r>
    </w:p>
    <w:p>
      <w:pPr>
        <w:pStyle w:val="Heading2"/>
      </w:pPr>
      <w:r>
        <w:t>Erwägungen</w:t>
      </w:r>
    </w:p>
    <w:p>
      <w:r>
        <w:rPr>
          <w:b/>
        </w:rPr>
        <w:t>E. 1</w:t>
      </w:r>
    </w:p>
    <w:p>
      <w:r>
        <w:t>L’initiative populaire du 21 septembre 2007 «pour l’interdiction d’exporter du matériel de guerre» est valable et sera soumise au vote du peuple et des cantons.</w:t>
      </w:r>
    </w:p>
    <w:p>
      <w:r>
        <w:rPr>
          <w:b/>
        </w:rPr>
        <w:t>E. 2</w:t>
      </w:r>
    </w:p>
    <w:p>
      <w:r>
        <w:t>L’initiative a la teneur suivante: I La Constitution fédérale du 18 avril 1999 est modifiée comme suit: Art. 107, al. 3 (nouveau)</w:t>
      </w:r>
    </w:p>
    <w:p>
      <w:r>
        <w:rPr>
          <w:b/>
        </w:rPr>
        <w:t>E. 3</w:t>
      </w:r>
    </w:p>
    <w:p>
      <w:r>
        <w:t>Ne tombe pas sous le coup de l’interdiction d’exporter l’exportation, par les autori- tés de la Confédération, des cantons ou des communes, des biens visés à l’al. 1 à condition qu’ils demeurent leur propriété, qu’ils soient utilisés par leur propre per- sonnel, puis rapatriés en fin de mission.</w:t>
      </w:r>
    </w:p>
    <w:p>
      <w:r>
        <w:rPr>
          <w:b/>
        </w:rPr>
        <w:t>E. 4</w:t>
      </w:r>
    </w:p>
    <w:p>
      <w:r>
        <w:t>Le courtage et le commerce des biens visés aux al. 1 et 2 sont interdits lorsque leur destinataire a son siège ou son domicile à l’étranger. II Les dispositions transitoires de la Constitution fédérale sont modifiées comme suit: Art. 197, ch. 8 (nouveau)</w:t>
      </w:r>
    </w:p>
    <w:p>
      <w:r>
        <w:rPr>
          <w:b/>
        </w:rPr>
        <w:t>E. 8</w:t>
      </w:r>
    </w:p>
    <w:p>
      <w:r>
        <w:t>Disposition transitoire ad art. 107a (Exportation de matériel de guerre et de biens militaires spéciaux) 1 La Confédération soutient, pendant les dix ans qui suivent l’acceptation par le peuple et les cantons de l’initiative populaire fédérale «pour l’interdiction d’exporter du matériel de guerre», les régions et les employés touchés par les interdictions visées à l’art. 107a. 2 Aucune nouvelle autorisation des activités visées à l’art. 107a ne sera plus délivrée dès lors que les art. 107, al. 3, et 107a auront été acceptés par le peuple et les can- tons.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l'interdiction d'exporter du matériel de guerre» (Projet) In Bundesblatt Dans Feuille fédérale In Foglio federale Jahr 2008 Année Anno Band 1 Volume Volume Heft 36 Cahier Numero Geschäftsnummer --- Numéro d'affaire Numero dell'oggetto Datum 09.09.2008 Date Data Seite 6897-6898 Page Pagina Ref. No</w:t>
      </w:r>
    </w:p>
    <w:p>
      <w:r>
        <w:rPr>
          <w:b/>
        </w:rPr>
        <w:t>E. 10</w:t>
      </w:r>
    </w:p>
    <w:p>
      <w:r>
        <w:t>142 089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