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07-3107 45 vom 21. Dezember 2007</w:t>
      </w:r>
    </w:p>
    <w:p>
      <w:r>
        <w:t>Bundesverwaltung, 2007-12-21, DE</w:t>
      </w:r>
    </w:p>
    <w:p>
      <w:r>
        <w:rPr>
          <w:b/>
        </w:rPr>
        <w:t xml:space="preserve">Quelle: </w:t>
      </w:r>
      <w:r>
        <w:t>https://mcp.opencaselaw.ch/entscheid/ch_vb_07-3107_45_</w:t>
      </w:r>
    </w:p>
    <w:p>
      <w:r>
        <w:t>FR: CH_VB 07-3107 45 du 21 décembre 2007</w:t>
      </w:r>
    </w:p>
    <w:p>
      <w:r>
        <w:t>IT: CH_VB 07-3107 45 del 21 dicembre 2007</w:t>
      </w:r>
    </w:p>
    <w:p>
      <w:pPr>
        <w:pStyle w:val="Heading2"/>
      </w:pPr>
      <w:r>
        <w:t>Volltext</w:t>
      </w:r>
    </w:p>
    <w:p>
      <w:r>
        <w:t>2007-3107 45 Loi fédérale à publier ultérieurement</w:t>
      </w:r>
    </w:p>
    <w:p>
      <w:r>
        <w:t>L’Assemblée fédérale a adopté, au cours de la session d’hiver, la loi fédérale sui- vante: – Loi fédérale sur l’acquisition et la perte de la nationalité suisse (Loi sur la nationalité, LN) (Procédure cantonale/Recours devant un tribunal cantonal). Modification du 21 décembre 2007 (FF 2005 6495). La présente loi est publiée dans la Feuille fédérale si l’initiative populaire «Pour des naturalisations démocratiques» est retirée ou rejetée. 8 janvier 2008 Chancellerie fédérale</w:t>
      </w:r>
    </w:p>
    <w:p>
      <w:r>
        <w:t>Loi fédérale à publier ultérieurement 46</w:t>
      </w:r>
    </w:p>
    <w:p>
      <w:r>
        <w:t>Schweizerisches Bundesarchiv, Digitale Amtsdruckschriften Archives fédérales suisses, Publications officielles numérisées Archivio federale svizzero, Pubblicazioni ufficiali digitali Loi fédérale à publier ultérieurement In Bundesblatt Dans Feuille fédérale In Foglio federale Jahr 2008 Année Anno Band 1 Volume Volume Heft 01 Cahier Numero Geschäftsnummer --- Numéro d'affaire Numero dell'oggetto Datum 08.01.2008 Date Data Seite 45-46 Page Pagina Ref. No 10 141 259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