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07-2698 5265 vom 12. Juni 2008</w:t>
      </w:r>
    </w:p>
    <w:p>
      <w:r>
        <w:t>Bundesverwaltung, 2008-06-12, DE</w:t>
      </w:r>
    </w:p>
    <w:p>
      <w:r>
        <w:rPr>
          <w:b/>
        </w:rPr>
        <w:t xml:space="preserve">Quelle: </w:t>
      </w:r>
      <w:r>
        <w:t>https://mcp.opencaselaw.ch/entscheid/ch_vb_07-2698_5265_</w:t>
      </w:r>
    </w:p>
    <w:p>
      <w:r>
        <w:t>FR: CH_VB 07-2698 5265 du 12 juin 2008</w:t>
      </w:r>
    </w:p>
    <w:p>
      <w:r>
        <w:t>IT: CH_VB 07-2698 5265 del 12 giugno 2008</w:t>
      </w:r>
    </w:p>
    <w:p>
      <w:pPr>
        <w:pStyle w:val="Heading2"/>
      </w:pPr>
      <w:r>
        <w:t>Volltext</w:t>
      </w:r>
    </w:p>
    <w:p>
      <w:r>
        <w:t>2007-2698 5265 Arrêté fédéral accordant la garantie fédérale à la Constitution du canton de Lucerne du 12 juin 2008</w:t>
      </w:r>
    </w:p>
    <w:p>
      <w:r>
        <w:t>L’Assemblée fédérale de la Confédération suisse, vu les art. 51 et 172, al. 2, de la Constitution1, vu le message du Conseil fédéral du 30 janvier 20082, arrête: Art. 1 La garantie fédérale est accordée à la Constitution du canton de Lucerne, acceptée lors de la votation populaire du 17 juin 2007. Art. 2 Le présent arrêté n’est pas sujet au référendum. Conseil des Etats, 11 juin 2008 Conseil national, 12 juin 2008 Le président: Christoffel Brändli Le secrétaire: Philippe Schwab Le président: André Bugnon Le secrétaire: Pierre-Hervé Freléchoz</w:t>
      </w:r>
    </w:p>
    <w:p>
      <w:r>
        <w:t>1 RS 101 2 FF 2008 1279</w:t>
      </w:r>
    </w:p>
    <w:p>
      <w:r>
        <w:t>Garantie fédérale à la Constitution du canton de Lucerne. AF 5266</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Lucerne In Bundesblatt Dans Feuille fédérale In Foglio federale Jahr 2008 Année Anno Band 1 Volume Volume Heft 26 Cahier Numero Geschäftsnummer --- Numéro d'affaire Numero dell'oggetto Datum 01.07.2008 Date Data Seite 5265-5266 Page Pagina Ref. No 10 141 921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