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07-2323 4023 vom 26. Oktober 2007</w:t>
      </w:r>
    </w:p>
    <w:p>
      <w:r>
        <w:t>Bundesverwaltung, 2007-10-26, DE</w:t>
      </w:r>
    </w:p>
    <w:p>
      <w:r>
        <w:rPr>
          <w:b/>
        </w:rPr>
        <w:t xml:space="preserve">Quelle: </w:t>
      </w:r>
      <w:r>
        <w:t>https://mcp.opencaselaw.ch/entscheid/ch_vb_07-2323_4023_</w:t>
      </w:r>
    </w:p>
    <w:p>
      <w:r>
        <w:t>FR: CH_VB 07-2323 4023 du 26 octobre 2007</w:t>
      </w:r>
    </w:p>
    <w:p>
      <w:r>
        <w:t>IT: CH_VB 07-2323 4023 del 26 ottobre 2007</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Colombie: (i) l’impôt sur le revenu et ses compléments («Impuesto sobre la Renta y Complementarios»); (ii) l’impôt national sur la fortune («Impuesto de orden nacional sobre el Patrimonio»); (ci-après désignés par «impôt colombien»);</w:t>
      </w:r>
    </w:p>
    <w:p>
      <w:r>
        <w:t>Doubles impositions. Convention avec la République de Colombie</w:t>
      </w:r>
    </w:p>
    <w:p>
      <w:r>
        <w:t>4024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contractants se communiquent les modifications importantes apportées à leurs légi- slations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t>Doubles impositions. Convention avec la République de Colombie 4027</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et que les transactions entre l’agent et l’entreprise aient été effectuées dans des conditions comparables à celles convenues entre des personnes indépendantes.</w:t>
      </w:r>
    </w:p>
    <w:p>
      <w:r>
        <w:rPr>
          <w:b/>
        </w:rPr>
        <w:t>E. 7</w:t>
      </w:r>
    </w:p>
    <w:p>
      <w:r>
        <w:t>En ce qui concerne l’art. 26 Il est entendu que l’expression «fraude fiscale» désigne un comportement fraudu- leux qui constitue, dans les deux Etats contractants, un délit fiscal passible d’une peine privative de liberté.</w:t>
      </w:r>
    </w:p>
    <w:p>
      <w:r>
        <w:t>Doubles impositions. Convention avec la République de Colombie</w:t>
      </w:r>
    </w:p>
    <w:p>
      <w:r>
        <w:t>4043 Il est en outre entendu que, dans les cas de fraude fiscale: a) le secret bancaire ne fait obstacle ni à l’obtention de moyens de preuve sous forme de documents auprès des banques ni à leur transmission à l’autorité compétente de l’Etat requérant, si l’autorité compétente de l’Etat requérant rend plausible un lien direct entre le comportement frauduleux et les mesures d’assistance administrative requises; b) l’échange de renseignements repose sur le principe de réciprocité et sur une présentation fondée des faits et circonstances de la part de l’Etat requérant; c) l’échange de renseignements s’applique aux fraudes fiscales commises à partir du 1er janvier de l’année suivant celle de l’entrée en vigueur de la pré- sente Convention. En foi de quoi, les soussignés, dûment autorisés par leurs Gouvernements respectifs, ont signé le présent Protocole. Fait en deux exemplaires à Berne, le 26 octobre 2007, en langues française et espa- gnole, chaque texte faisant également foi. Pour le Conseil fédéral suisse: Pour le Gouvernement de la République de Colombie: Hans-Rudolf Merz Luis Guillermo Plata</w:t>
      </w:r>
    </w:p>
    <w:p>
      <w:r>
        <w:t>Doubles impositions. Convention avec la République de Colombie</w:t>
      </w:r>
    </w:p>
    <w:p>
      <w:r>
        <w:t>4044</w:t>
      </w:r>
    </w:p>
    <w:p>
      <w:r>
        <w:t>Schweizerisches Bundesarchiv, Digitale Amtsdruckschriften Archives fédérales suisses, Publications officielles numérisées Archivio federale svizzero, Pubblicazioni ufficiali digitali Convention entre la Confédération suisse et la République de Colombie en vue d'éviter les doubles impositions en matière d'impôts sur le revenu et sur la fortune In Bundesblatt Dans Feuille fédérale In Foglio federale Jahr 2008 Année Anno Band 1 Volume Volume Heft 23 Cahier Numero Geschäftsnummer --- Numéro d'affaire Numero dell'oggetto Datum 10.06.2008 Date Data Seite 4023-4044 Page Pagina Ref. No</w:t>
      </w:r>
    </w:p>
    <w:p>
      <w:r>
        <w:rPr>
          <w:b/>
        </w:rPr>
        <w:t>E. 10</w:t>
      </w:r>
    </w:p>
    <w:p>
      <w:r>
        <w:t>141 834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