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07-1943 1107 vom 14. September 2005</w:t>
      </w:r>
    </w:p>
    <w:p>
      <w:r>
        <w:t>Bundesverwaltung, 2005-09-14, DE</w:t>
      </w:r>
    </w:p>
    <w:p>
      <w:r>
        <w:rPr>
          <w:b/>
        </w:rPr>
        <w:t xml:space="preserve">Quelle: </w:t>
      </w:r>
      <w:r>
        <w:t>https://mcp.opencaselaw.ch/entscheid/ch_vb_07-1943_1107_</w:t>
      </w:r>
    </w:p>
    <w:p>
      <w:r>
        <w:t>FR: CH_VB 07-1943 1107 du 14 septembre 2005</w:t>
      </w:r>
    </w:p>
    <w:p>
      <w:r>
        <w:t>IT: CH_VB 07-1943 1107 del 14 settembre 2005</w:t>
      </w:r>
    </w:p>
    <w:p>
      <w:pPr>
        <w:pStyle w:val="Heading2"/>
      </w:pPr>
      <w:r>
        <w:t>Erwägungen</w:t>
      </w:r>
    </w:p>
    <w:p>
      <w:r>
        <w:rPr>
          <w:b/>
        </w:rPr>
        <w:t>E. 1</w:t>
      </w:r>
    </w:p>
    <w:p>
      <w:r>
        <w:t>«Matière radioactive» s’entend de toute matière nucléaire ou autre substance radioactive contenant des nucléides qui se désintègrent spontanément (processus accompagné de l’émission d’un ou plusieurs types de rayonnements ionisants tels que les rayonnements alpha, bêta, gamma et neutron), et qui pourraient, du fait de leurs propriétés radiologiques ou fissiles, causer la mort, des dommages corporels graves ou des dommages substantiels aux biens ou à l’environnement.</w:t>
      </w:r>
    </w:p>
    <w:p>
      <w:r>
        <w:rPr>
          <w:b/>
        </w:rPr>
        <w:t>E. 2</w:t>
      </w:r>
    </w:p>
    <w:p>
      <w:r>
        <w:t>«Matières nucléaires» s’entend du plutonium, à l’exception du plutonium dont la concentration isotopique en plutonium 238 dépasse 80 p. 100; de l’uranium 233; de l’uranium enrichi en isotope 235 ou 233; de l’uranium contenant le mélange d’isotopes qui se trouve dans la nature autrement que sous la forme de minerai ou de résidu de minerai; ou de toute autre matière contenant un ou plusieurs des éléments précités;</w:t>
      </w:r>
    </w:p>
    <w:p>
      <w:r>
        <w:t>«Uranium enrichi en isotope 235 ou 233» s’entend de l’uranium contenant soit l’isotope 235, soit l’isotope 233, soit ces deux isotopes, en quantité telle que le rapport entre les teneurs isotopiques pour la somme de ces deux iso- topes et l’isotope 238 est supérieur au rapport entre l’isotope 235 et l’isotope 238 dans l’uranium naturel.</w:t>
      </w:r>
    </w:p>
    <w:p>
      <w:r>
        <w:rPr>
          <w:b/>
        </w:rPr>
        <w:t>E. 3</w:t>
      </w:r>
    </w:p>
    <w:p>
      <w:r>
        <w:t>«Installation nucléaire» s’entend: a) De tout réacteur nucléaire, y compris un réacteur embarqué à bord d’un navire, d’un véhicule, d’un aéronef ou d’un engin spatial comme source d’énergie servant à propulser ledit navire, véhicule, aéronef ou engin spatial, ou à toute autre fin; b) De tout dispositif ou engin de transport aux fins de produire, stocker, retrai- ter ou transporter des matières radioactives.</w:t>
      </w:r>
    </w:p>
    <w:p>
      <w:r>
        <w:t>Répression des actes de terrorisme nucléaire. Convention internationale 1109</w:t>
      </w:r>
    </w:p>
    <w:p>
      <w:r>
        <w:rPr>
          <w:b/>
        </w:rPr>
        <w:t>E. 4</w:t>
      </w:r>
    </w:p>
    <w:p>
      <w:r>
        <w:t>«Engin» s’entend: a) De tout dispositif explosif nucléaire; ou b) De tout engin à dispersion de matières radioactives ou tout engin émettant des rayonnements qui, du fait de ses propriétés radiologiques, cause la mort, des dommages corporels graves ou des dommages substantiels aux biens ou à l’environnement.</w:t>
      </w:r>
    </w:p>
    <w:p>
      <w:r>
        <w:rPr>
          <w:b/>
        </w:rPr>
        <w:t>E. 5</w:t>
      </w:r>
    </w:p>
    <w:p>
      <w:r>
        <w:t>«Installation gouvernementale ou publique» s’entend de tout équipement ou de tout moyen de déplacement de caractère permanent ou temporaire qui est utilisé ou occupé par des représentants d’un Etat, des membres du gouvernement, du parle- ment ou de la magistrature, ou des agents ou personnels d’un Etat ou de toute autre autorité ou entité publique, ou par des agents ou personnels d’une organisation intergouvernementale, dans le cadre de leurs fonctions officielles.</w:t>
      </w:r>
    </w:p>
    <w:p>
      <w:r>
        <w:rPr>
          <w:b/>
        </w:rPr>
        <w:t>E. 6</w:t>
      </w:r>
    </w:p>
    <w:p>
      <w:r>
        <w:t>Les Etats Parties qui décident du sort des matières ou engins radioactifs ou des installations nucléaires ou qui les conservent conformément au présent article infor- ment le Directeur général de l’Agence internationale de l’énergie atomique du sort qu’ils ont réservé à ces matières, engins ou installations ou de la manière dont ils les conservent. Le Directeur général de l’Agence internationale de l’énergie atomique transmet ces informations aux autres Etats Parties.</w:t>
      </w:r>
    </w:p>
    <w:p>
      <w:r>
        <w:rPr>
          <w:b/>
        </w:rPr>
        <w:t>E. 07</w:t>
      </w:r>
    </w:p>
    <w:p>
      <w:r>
        <w:t>Cahier Numero Geschäftsnummer --- Numéro d'affaire Numero dell'oggetto Datum 19.02.2008 Date Data Seite 1107-1120 Page Pagina Ref. No</w:t>
      </w:r>
    </w:p>
    <w:p>
      <w:r>
        <w:rPr>
          <w:b/>
        </w:rPr>
        <w:t>E. 7</w:t>
      </w:r>
    </w:p>
    <w:p>
      <w:r>
        <w:t>S’il y a eu dissémination en rapport avec une infraction visée à l’art. 2, aucune disposition du présent article ne modifie en aucune manière les règles du droit inter- national régissant la responsabilité en matière de dommages nucléaires ou les autres règles du droit international.</w:t>
      </w:r>
    </w:p>
    <w:p>
      <w:r>
        <w:t>Répression des actes de terrorisme nucléaire. Convention internationale 1118 Art. 19 L’Etat Partie où des poursuites ont été engagées contre l’auteur présumé de l’infrac- tion en communique, dans les conditions prévues par sa législation nationale ou par les procédures applicables, le résultat définitif au Secrétaire général de l’Organisa- tion des Nations Unies, qui en informe les autres Etats Parties. Art. 20 Les Etats Parties se consultent directement ou par l’intermédiaire du Secrétaire général de l’Organisation des Nations Unies, au besoin avec l’assistance d’organisa- tions internationales, pour assurer la bonne application de la présente Convention. Art. 21 Les Etats Parties s’acquittent des obligations découlant de la présente Convention dans le respect des principes de l’égalité souveraine et de l’intégrité territoriale des Etats, ainsi que de celui de la non-ingérence dans les affaires intérieures des autres Etats. Art. 22 Aucune disposition de la présente Convention n’habilite un Etat Partie à exercer sur le territoire d’un autre Etat Partie une compétence ou des fonctions qui sont exclusi- vement réservées aux autorités de cet autre Etat Partie par sa législation nationale. Art. 23 1. Tout différend entre des Etats Parties concernant l’interprétation ou l’application de la présente Convention qui ne peut pas être réglé par voie de négociation dans un délai raisonnable est soumis à l’arbitrage, à la demande de l’un de ces Etats. Si, dans les six mois qui suivent la date de la demande d’arbitrage, les parties ne parviennent pas à se mettre d’accord sur l’organisation de l’arbitrage, l’une quelconque d’entre elles peut soumettre le différend à la Cour internationale de Justice, en déposant une requête conformément au Statut de la Cour. 2. Tout Etat peut, au moment où il signe, ratifie, accepte ou approuve la présente Convention ou y adhère, déclarer qu’il ne se considère pas lié par les dispositions du par. 1 du présent article. Les autres Etats Parties ne sont pas liés par lesdites disposi- tions envers tout Etat Partie qui a formulé une telle réserve. 3. Tout Etat qui a formulé une réserve conformément aux dispositions du par. 2 du présent article peut à tout moment lever cette réserve par une notification adressée au Secrétaire général de l’Organisation des Nations Unies. Art. 24 1. La présente Convention est ouverte à la signature de tous les Etats du 14 sep- tembre 2005 au 31 décembre 2006, au Siège de l’Organisation des Nations Unies à New York.</w:t>
      </w:r>
    </w:p>
    <w:p>
      <w:r>
        <w:t>Répression des actes de terrorisme nucléaire. Convention internationale 1119 2. La présente Convention sera ratifiée, acceptée ou approuvée. Les instruments de ratification, d’acceptation ou d’approbation seront déposés auprès du Secrétaire général de l’Organisation des Nations Unies. 3. La présente Convention est ouverte à l’adhésion de tout Etat. Les instruments d’adhésion seront déposés auprès du Secrétaire général de l’Organisation des Nations Unies. Art. 25 1. La présente Convention entrera en vigueur le trentième jour qui suivra la date de dépôt auprès du Secrétaire général de l’Organisation des Nations Unies du vingt- deuxième instrument de ratification, d’acceptation, d’approbation ou d’adhésion. 2. Pour chacun des Etats qui ratifieront, accepteront ou approuveront la Convention ou y adhéreront après le dépôt du vingt-deuxième instrument de ratification, d’acceptation, d’approbation ou d’adhésion, la Convention entrera en vigueur le trentième jour suivant le dépôt par cet Etat de son instrument de ratification, d’acceptation, d’approbation ou d’adhésion. Art. 26 1. Un Etat Partie peut proposer un amendement à la présente Convention. L’amendement proposé est adressé au dépositaire, qui le communique immédiate- ment à tous les Etats Parties. 2. Si la majorité des Etats Parties demande au dépositaire la convocation d’une conférence pour l’examen de l’amendement proposé, le dépositaire invite tous les Etats Parties à une conférence, qui ne s’ouvrira au plus tôt que trois mois après l’envoi des convocations. 3. La conférence ne néglige aucun effort pour que les amendements soient adoptés par consensus. Au cas où elle ne peut y parvenir, les amendements sont adoptés à la majorité des deux tiers de tous les Etats Parties. Tout amendement adopté à la Con- férence est immédiatement communiqué par le dépositaire à tous les Etats Parties. 4. L’amendement adopté conformément au par. 3 du présent article entrera en vigueur, pour chaque Etat Partie qui dépose son instrument de ratification, d’acceptation ou d’approbation de l’amendement, ou d’adhésion à l’amendement, le trentième jour suivant la date à laquelle les deux tiers des Etats Parties auront déposé leur instrument pertinent. Par la suite, l’amendement entrera en vigueur pour tout Etat Partie le trentième jour suivant la date à laquelle il aura déposé son instrument pertinent. Art. 27 1. Tout Etat Partie peut dénoncer la présente Convention par voie de notification écrite adressée au Secrétaire général de l’Organisation des Nations Unies. 2. La dénonciation prendra effet un an après la date à laquelle la notification aura été reçue par le Secrétaire général de l’Organisation des Nations Unies.</w:t>
      </w:r>
    </w:p>
    <w:p>
      <w:r>
        <w:t>Répression des actes de terrorisme nucléaire. Convention internationale 1120 Art. 28 L’original de la présente Convention, dont les textes anglais, arabe, chinois, espa- gnol, français et russe font également foi, sera déposé auprès du Secrétaire général de l’Organisation des Nations Unies, qui en fera tenir copie certifiée conforme à tous les Etats. En foi de quoi les soussignés, dûment autorisés à cet effet par leurs gouvernements respectifs, ont signé la présente Convention, qui a été ouverte à la signature au Siège de l’Organisation des Nations Unies à New York, le 14 septembre 2005. (Suivent les signatures)</w:t>
      </w:r>
    </w:p>
    <w:p>
      <w:r>
        <w:t>Schweizerisches Bundesarchiv, Digitale Amtsdruckschriften Archives fédérales suisses, Publications officielles numérisées Archivio federale svizzero, Pubblicazioni ufficiali digitali Convention internationale pour la répression des actes de terrorisme nucléaire In Bundesblatt Dans Feuille fédérale In Foglio federale Jahr 2008 Année Anno Band 1 Volume Volume Heft</w:t>
      </w:r>
    </w:p>
    <w:p>
      <w:r>
        <w:rPr>
          <w:b/>
        </w:rPr>
        <w:t>E. 10</w:t>
      </w:r>
    </w:p>
    <w:p>
      <w:r>
        <w:t>141 449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