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07-1908 7375 vom 13. November 2007</w:t>
      </w:r>
    </w:p>
    <w:p>
      <w:r>
        <w:t>Bundesverwaltung, 2007-11-13, DE</w:t>
      </w:r>
    </w:p>
    <w:p>
      <w:r>
        <w:rPr>
          <w:b/>
        </w:rPr>
        <w:t xml:space="preserve">Quelle: </w:t>
      </w:r>
      <w:r>
        <w:t>https://mcp.opencaselaw.ch/entscheid/ch_vb_07-1908_7375_</w:t>
      </w:r>
    </w:p>
    <w:p>
      <w:r>
        <w:t>FR: CH_VB 07-1908 7375 du 13 novembre 2007</w:t>
      </w:r>
    </w:p>
    <w:p>
      <w:r>
        <w:t>IT: CH_VB 07-1908 7375 del 13 novembre 2007</w:t>
      </w:r>
    </w:p>
    <w:p>
      <w:pPr>
        <w:pStyle w:val="Heading2"/>
      </w:pPr>
      <w:r>
        <w:t>Erwägungen</w:t>
      </w:r>
    </w:p>
    <w:p>
      <w:r>
        <w:rPr>
          <w:b/>
        </w:rPr>
        <w:t>E. 1</w:t>
      </w:r>
    </w:p>
    <w:p>
      <w:r>
        <w:t>Un crédit d’ensemble de 5200 millions de francs (prix et état d’avancement du projet en 2005, sans le renchérissement ni la taxe sur la valeur ajoutée) est alloué pour le développement de l’infrastructure ferroviaire.</w:t>
      </w:r>
    </w:p>
    <w:p>
      <w:r>
        <w:rPr>
          <w:b/>
        </w:rPr>
        <w:t>E. 2</w:t>
      </w:r>
    </w:p>
    <w:p>
      <w:r>
        <w:t>Il est réparti entre les crédits d’engagement suivants:</w:t>
      </w:r>
    </w:p>
    <w:p>
      <w:r>
        <w:t>Investissements en millions de francs</w:t>
      </w:r>
    </w:p>
    <w:p>
      <w:r>
        <w:t>a. Mesures prévues à l’art. 4, al. 1, let. a, LDIF 700</w:t>
      </w:r>
    </w:p>
    <w:p>
      <w:r>
        <w:t>b. Surveillance des mesures visées à la let. a 10</w:t>
      </w:r>
    </w:p>
    <w:p>
      <w:r>
        <w:t>c. Mesures prévues à l’art. 4, al. 1, let. b, LDIF</w:t>
      </w:r>
    </w:p>
    <w:p>
      <w:r>
        <w:rPr>
          <w:b/>
        </w:rPr>
        <w:t>E. 4</w:t>
      </w:r>
    </w:p>
    <w:p>
      <w:r>
        <w:t>420</w:t>
      </w:r>
    </w:p>
    <w:p>
      <w:r>
        <w:t>d. Surveillance des mesures visées à la let. c 20</w:t>
      </w:r>
    </w:p>
    <w:p>
      <w:r>
        <w:t>e. Mesures de compensation dans le trafic régional (art. 6 LDIF) 50</w:t>
      </w:r>
    </w:p>
    <w:p>
      <w:r>
        <w:t>Total</w:t>
      </w:r>
    </w:p>
    <w:p>
      <w:r>
        <w:rPr>
          <w:b/>
        </w:rPr>
        <w:t>E. 5</w:t>
      </w:r>
    </w:p>
    <w:p>
      <w:r>
        <w:t>FF 2003 102</w:t>
      </w:r>
    </w:p>
    <w:p>
      <w:r>
        <w:t>Schweizerisches Bundesarchiv, Digitale Amtsdruckschriften Archives fédérales suisses, Publications officielles numérisées Archivio federale svizzero, Pubblicazioni ufficiali digitali Arrêté fédéral concernant le crédit d'ensemble pour le développement de l'infrastructure ferroviaire (Projet) In Bundesblatt Dans Feuille fédérale In Foglio federale Jahr 2007 Année Anno Band 1 Volume Volume Heft 46 Cahier Numero Geschäftsnummer --- Numéro d'affaire Numero dell'oggetto Datum 13.11.2007 Date Data Seite 7375-7376 Page Pagina Ref. No</w:t>
      </w:r>
    </w:p>
    <w:p>
      <w:r>
        <w:rPr>
          <w:b/>
        </w:rPr>
        <w:t>E. 10</w:t>
      </w:r>
    </w:p>
    <w:p>
      <w:r>
        <w:t>141 104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