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07-1444 6127 vom 25. September 2007</w:t>
      </w:r>
    </w:p>
    <w:p>
      <w:r>
        <w:t>Bundesverwaltung, 2007-09-25, DE</w:t>
      </w:r>
    </w:p>
    <w:p>
      <w:r>
        <w:rPr>
          <w:b/>
        </w:rPr>
        <w:t xml:space="preserve">Quelle: </w:t>
      </w:r>
      <w:r>
        <w:t>https://mcp.opencaselaw.ch/entscheid/ch_vb_07-1444_6127_</w:t>
      </w:r>
    </w:p>
    <w:p>
      <w:r>
        <w:t>FR: CH_VB 07-1444 6127 du 25 septembre 2007</w:t>
      </w:r>
    </w:p>
    <w:p>
      <w:r>
        <w:t>IT: CH_VB 07-1444 6127 del 25 settembre 2007</w:t>
      </w:r>
    </w:p>
    <w:p>
      <w:pPr>
        <w:pStyle w:val="Heading2"/>
      </w:pPr>
      <w:r>
        <w:t>Erwägungen</w:t>
      </w:r>
    </w:p>
    <w:p>
      <w:r>
        <w:rPr>
          <w:b/>
        </w:rPr>
        <w:t>E. 1</w:t>
      </w:r>
    </w:p>
    <w:p>
      <w:r>
        <w:t>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cantonale compétente définit l’étendue de chaque périmètre.</w:t>
      </w:r>
    </w:p>
    <w:p>
      <w:r>
        <w:rPr>
          <w:b/>
        </w:rPr>
        <w:t>E. 2</w:t>
      </w:r>
    </w:p>
    <w:p>
      <w:r>
        <w:t>L’interdiction de périmètre peut être prononcée pour une durée d’un an au plus.</w:t>
      </w:r>
    </w:p>
    <w:p>
      <w:r>
        <w:rPr>
          <w:b/>
        </w:rPr>
        <w:t>E. 3</w:t>
      </w:r>
    </w:p>
    <w:p>
      <w:r>
        <w:t>La personne visée doit se présenter au poste de police de son lieu de domicile ou à un autre poste de police mentionné dans la décision à la date et à l’heure indiquées et doit y demeurer le temps de la garde à vue.</w:t>
      </w:r>
    </w:p>
    <w:p>
      <w:r>
        <w:rPr>
          <w:b/>
        </w:rPr>
        <w:t>E. 4</w:t>
      </w:r>
    </w:p>
    <w:p>
      <w:r>
        <w:t>Si la personne visée ne se présente pas au poste de police indiqué, elle peut y être amenée par la police.</w:t>
      </w:r>
    </w:p>
    <w:p>
      <w:r>
        <w:rPr>
          <w:b/>
        </w:rPr>
        <w:t>E. 5</w:t>
      </w:r>
    </w:p>
    <w:p>
      <w:r>
        <w:t>Si la personne visée en fait la demande, un juge vérifie que la privation de liberté est conforme à la loi.</w:t>
      </w:r>
    </w:p>
    <w:p>
      <w:r>
        <w:rPr>
          <w:b/>
        </w:rPr>
        <w:t>E. 6</w:t>
      </w:r>
    </w:p>
    <w:p>
      <w:r>
        <w:t>RS 120</w:t>
      </w:r>
    </w:p>
    <w:p>
      <w:r>
        <w:t>Mesures visant au maintien de la sûreté intérieure. LF</w:t>
      </w:r>
    </w:p>
    <w:p>
      <w:r>
        <w:t>6132 Art. 24d à 24e Abrogés Art. 24f Age minimum Les mesures prévues à l’art. 24c ne peuvent être ordonnées qu’à l’encontre de per- sonnes âgées d’au moins douze ans. Art. 24g Effet suspensif Le recours contre une décision portant sur les mesures visées à l’art. 24c a un effet suspensif lorsqu’il ne compromet pas le but de la mesure et lorsque l’autorité de recours ou le juge accepte expressément l’effet suspensif dans une décision inci- dente. Art. 24h Abrogé II 1 La présente modification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(Projet) In Bundesblatt Dans Feuille fédérale In Foglio federale Jahr 2007 Année Anno Band 1 Volume Volume Heft 39 Cahier Numero Geschäftsnummer --- Numéro d'affaire Numero dell'oggetto Datum 25.09.2007 Date Data Seite 6127-6132 Page Pagina Ref. No</w:t>
      </w:r>
    </w:p>
    <w:p>
      <w:r>
        <w:rPr>
          <w:b/>
        </w:rPr>
        <w:t>E. 10</w:t>
      </w:r>
    </w:p>
    <w:p>
      <w:r>
        <w:t>140 928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