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07-0233 2289 vom 19. Dezember 2006</w:t>
      </w:r>
    </w:p>
    <w:p>
      <w:r>
        <w:t>Bundesverwaltung, 2006-12-19, DE</w:t>
      </w:r>
    </w:p>
    <w:p>
      <w:r>
        <w:rPr>
          <w:b/>
        </w:rPr>
        <w:t xml:space="preserve">Quelle: </w:t>
      </w:r>
      <w:r>
        <w:t>https://mcp.opencaselaw.ch/entscheid/ch_vb_07-0233_2289_</w:t>
      </w:r>
    </w:p>
    <w:p>
      <w:r>
        <w:t>FR: CH_VB 07-0233 2289 du 19 décembre 2006</w:t>
      </w:r>
    </w:p>
    <w:p>
      <w:r>
        <w:t>IT: CH_VB 07-0233 2289 del 19 dicembre 2006</w:t>
      </w:r>
    </w:p>
    <w:p>
      <w:pPr>
        <w:pStyle w:val="Heading2"/>
      </w:pPr>
      <w:r>
        <w:t>Erwägungen</w:t>
      </w:r>
    </w:p>
    <w:p>
      <w:r>
        <w:rPr>
          <w:b/>
        </w:rPr>
        <w:t>E. 1</w:t>
      </w:r>
    </w:p>
    <w:p>
      <w:r>
        <w:t>L’Accord du 19 décembre 2006 entre le Conseil fédéral suisse et le Gouvernement de la Principauté de Liechtenstein concernant la prise en charge des tâches du fonds de garantie liechtensteinois est approuvé.</w:t>
      </w:r>
    </w:p>
    <w:p>
      <w:r>
        <w:rPr>
          <w:b/>
        </w:rPr>
        <w:t>E. 2</w:t>
      </w:r>
    </w:p>
    <w:p>
      <w:r>
        <w:t>FF 2007 2277</w:t>
      </w:r>
    </w:p>
    <w:p>
      <w:r>
        <w:t>Fonds de garantie liechtensteinois. AF</w:t>
      </w:r>
    </w:p>
    <w:p>
      <w:r>
        <w:t>2290</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Gouvernement de la Principauté de Liechtenstein concernant la prise en charge des tâches du fonds de garantie liechtensteinois (Projet) In Bundesblatt Dans Feuille fédérale In Foglio federale Jahr 2007 Année Anno Band 1 Volume Volume Heft 15 Cahier Numero Geschäftsnummer --- Numéro d'affaire Numero dell'oggetto Datum 10.04.2007 Date Data Seite 2289-2290 Page Pagina Ref. No 10 140 496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