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06-3262 9365 vom 18. Mai 2005</w:t>
      </w:r>
    </w:p>
    <w:p>
      <w:r>
        <w:t>Bundesverwaltung, 2005-05-18, DE</w:t>
      </w:r>
    </w:p>
    <w:p>
      <w:r>
        <w:rPr>
          <w:b/>
        </w:rPr>
        <w:t xml:space="preserve">Quelle: </w:t>
      </w:r>
      <w:r>
        <w:t>https://mcp.opencaselaw.ch/entscheid/ch_vb_06-3262_9365_</w:t>
      </w:r>
    </w:p>
    <w:p>
      <w:r>
        <w:t>FR: CH_VB 06-3262 9365 du 18 mai 2005</w:t>
      </w:r>
    </w:p>
    <w:p>
      <w:r>
        <w:t>IT: CH_VB 06-3262 9365 del 18 maggio 2005</w:t>
      </w:r>
    </w:p>
    <w:p>
      <w:pPr>
        <w:pStyle w:val="Heading2"/>
      </w:pPr>
      <w:r>
        <w:t>Erwägungen</w:t>
      </w:r>
    </w:p>
    <w:p>
      <w:r>
        <w:rPr>
          <w:b/>
        </w:rPr>
        <w:t>E. 1</w:t>
      </w:r>
    </w:p>
    <w:p>
      <w:r>
        <w:t>Caractéristiques du produit (pour tous les produits mentionnés) Substance(s) active(s): Chlorothalonil (TCPN) 31.0 % Propamocarb-hydrochlorid 31.0 % Formulation: SC</w:t>
      </w:r>
    </w:p>
    <w:p>
      <w:r>
        <w:rPr>
          <w:b/>
        </w:rPr>
        <w:t>E. 2</w:t>
      </w:r>
    </w:p>
    <w:p>
      <w:r>
        <w:t>= premier traitement en cas de risque de contamination ou sur conseil du service d’avertissement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9365-9366 Page Pagina Ref. No 10 140 214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