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06-3255 9345 vom 18. Mai 2005</w:t>
      </w:r>
    </w:p>
    <w:p>
      <w:r>
        <w:t>Bundesverwaltung, 2005-05-18, DE</w:t>
      </w:r>
    </w:p>
    <w:p>
      <w:r>
        <w:rPr>
          <w:b/>
        </w:rPr>
        <w:t xml:space="preserve">Quelle: </w:t>
      </w:r>
      <w:r>
        <w:t>https://mcp.opencaselaw.ch/entscheid/ch_vb_06-3255_9345_</w:t>
      </w:r>
    </w:p>
    <w:p>
      <w:r>
        <w:t>FR: CH_VB 06-3255 9345 du 18 mai 2005</w:t>
      </w:r>
    </w:p>
    <w:p>
      <w:r>
        <w:t>IT: CH_VB 06-3255 9345 del 18 maggio 2005</w:t>
      </w:r>
    </w:p>
    <w:p>
      <w:pPr>
        <w:pStyle w:val="Heading2"/>
      </w:pPr>
      <w:r>
        <w:t>Erwägungen</w:t>
      </w:r>
    </w:p>
    <w:p>
      <w:r>
        <w:rPr>
          <w:b/>
        </w:rPr>
        <w:t>E. 1</w:t>
      </w:r>
    </w:p>
    <w:p>
      <w:r>
        <w:t>Caractéristiques du produit (pour tous les produits mentionnés) Substance(s) active(s): Cyprodinil 40.0 % Cyproconazole 5.3 % Formulation: WG</w:t>
      </w:r>
    </w:p>
    <w:p>
      <w:r>
        <w:rPr>
          <w:b/>
        </w:rPr>
        <w:t>E. 2</w:t>
      </w:r>
    </w:p>
    <w:p>
      <w:r>
        <w:t>Produits commerciaux Iridia Numéro d’homologation suisse: F-3898 pays d’origine: France numéro d’homologation étranger: 9800094 distributeur: Syngenta Agro SAS, 20, rue de Marat, 78210 Saint-Cyr-l’Ecole Radius Numéro d’homologation suisse: D-3823 pays d’origine: Allemagne numéro d’homologation étranger: 4790-00 distributeur: Syngenta Agro GmbH, am Technologiepark 1–5, 63477 Maintal Applications autorisées: Domaine d’application Organisme nuisible / effets Application (*) Grandes cultures</w:t>
      </w:r>
    </w:p>
    <w:p>
      <w:r>
        <w:t>orge oïdium des céréales, maladie des stries rectangulaires, Rhynchospo- rium (tache pâle), rouille naine dosage: 1.5 kg/ha 1 blé rouille brune dosage: 1.5 kg/ha 2, 3 blé oïdium des céréales dosage: 1.5 kg/ha</w:t>
      </w:r>
    </w:p>
    <w:p>
      <w:r>
        <w:rPr>
          <w:b/>
        </w:rPr>
        <w:t>E. 4</w:t>
      </w:r>
    </w:p>
    <w:p>
      <w:r>
        <w:t>1 RS 916.161</w:t>
      </w:r>
    </w:p>
    <w:p>
      <w:r>
        <w:t>9346 Domaine d’application Organisme nuisible / effets Application (*) blé rouille jaune dosage: 1.5 kg/ha 3, 5 blé piétin-verse dosage: 1.5 kg/ha</w:t>
      </w:r>
    </w:p>
    <w:p>
      <w:r>
        <w:rPr>
          <w:b/>
        </w:rPr>
        <w:t>E. 6</w:t>
      </w:r>
    </w:p>
    <w:p>
      <w:r>
        <w:t>= 1 traitement au maximum dès le début de la montaison jusqu’au stade deuxième nœud (stades 30 à 32 BBCH), lorsque l’assolement est surchargé en céréales et si plus de 15 à 20 % des épis sont contaminés</w:t>
      </w:r>
    </w:p>
    <w:p>
      <w:r>
        <w:rPr>
          <w:b/>
        </w:rPr>
        <w:t>E. 7</w:t>
      </w:r>
    </w:p>
    <w:p>
      <w:r>
        <w:t>= variétés susceptibles d’être contaminées: si l’une des maladies apparaît sur une des 3 dernières feuilles, pleinement développées, entre le stade étendard et le début de l’épiage (stades 37 à 51 BBCH)</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w:t>
      </w:r>
    </w:p>
    <w:p>
      <w:r>
        <w:t>9347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51 Cahier Numero Geschäftsnummer --- Numéro d'affaire Numero dell'oggetto Datum 27.12.2006 Date Data Seite 9345-9347 Page Pagina Ref. No</w:t>
      </w:r>
    </w:p>
    <w:p>
      <w:r>
        <w:rPr>
          <w:b/>
        </w:rPr>
        <w:t>E. 10</w:t>
      </w:r>
    </w:p>
    <w:p>
      <w:r>
        <w:t>140 207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