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06-3201 9075 vom 18. Mai 2005</w:t>
      </w:r>
    </w:p>
    <w:p>
      <w:r>
        <w:t>Bundesverwaltung, 2005-05-18, DE</w:t>
      </w:r>
    </w:p>
    <w:p>
      <w:r>
        <w:rPr>
          <w:b/>
        </w:rPr>
        <w:t xml:space="preserve">Quelle: </w:t>
      </w:r>
      <w:r>
        <w:t>https://mcp.opencaselaw.ch/entscheid/ch_vb_06-3201_9075_</w:t>
      </w:r>
    </w:p>
    <w:p>
      <w:r>
        <w:t>FR: CH_VB 06-3201 9075 du 18 mai 2005</w:t>
      </w:r>
    </w:p>
    <w:p>
      <w:r>
        <w:t>IT: CH_VB 06-3201 9075 del 18 maggio 2005</w:t>
      </w:r>
    </w:p>
    <w:p>
      <w:pPr>
        <w:pStyle w:val="Heading2"/>
      </w:pPr>
      <w:r>
        <w:t>Erwägungen</w:t>
      </w:r>
    </w:p>
    <w:p>
      <w:r>
        <w:rPr>
          <w:b/>
        </w:rPr>
        <w:t>E. 1</w:t>
      </w:r>
    </w:p>
    <w:p>
      <w:r>
        <w:t>Caractéristiques du produit (pour tous les produits mentionnés) Substance(s) active(s): Buprofezin 25.0 % Formulation: WP</w:t>
      </w:r>
    </w:p>
    <w:p>
      <w:r>
        <w:rPr>
          <w:b/>
        </w:rPr>
        <w:t>E. 2</w:t>
      </w:r>
    </w:p>
    <w:p>
      <w:r>
        <w:t>= 3 traitements au maximum par culture et par année.</w:t>
      </w:r>
    </w:p>
    <w:p>
      <w:r>
        <w:rPr>
          <w:b/>
        </w:rPr>
        <w:t>E. 3</w:t>
      </w:r>
    </w:p>
    <w:p>
      <w:r>
        <w:t>= Convient seulement pour la lutte contre les souches non résistantes.</w:t>
      </w:r>
    </w:p>
    <w:p>
      <w:r>
        <w:rPr>
          <w:b/>
        </w:rPr>
        <w:t>E. 4</w:t>
      </w:r>
    </w:p>
    <w:p>
      <w:r>
        <w:t>= Seulement en cas de contamination (l’effet visible n’apparaît qu’après 14 jours). traite- ment ultérieur, si nécessaire, au plus tôt après 3 semaines.</w:t>
      </w:r>
    </w:p>
    <w:p>
      <w:r>
        <w:rPr>
          <w:b/>
        </w:rPr>
        <w:t>E. 5</w:t>
      </w:r>
    </w:p>
    <w:p>
      <w:r>
        <w:t>= Pour les framboises d’été et les mûres, la dose à appliquer concerne le stade depuis le début de la floraison jusqu’à la pleine floraison et un volume de haie de 10 000 m3/ha. Pour les framboisiers d’automne depuis le moment où les fleurs sont sur le point d’éclore jusqu’à celui où les premières fleurs sont ouvertes, un volume de haie de 7500 m3/ha.</w:t>
      </w:r>
    </w:p>
    <w:p>
      <w:r>
        <w:rPr>
          <w:b/>
        </w:rPr>
        <w:t>E. 6</w:t>
      </w:r>
    </w:p>
    <w:p>
      <w:r>
        <w:t>= La concentration indiquée concerne une quantité d’eau de base de 1000 l/ha.</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9077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9075-9077 Page Pagina Ref. No</w:t>
      </w:r>
    </w:p>
    <w:p>
      <w:r>
        <w:rPr>
          <w:b/>
        </w:rPr>
        <w:t>E. 10</w:t>
      </w:r>
    </w:p>
    <w:p>
      <w:r>
        <w:t>140 154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