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06-3175 9059 vom 18. Mai 2005</w:t>
      </w:r>
    </w:p>
    <w:p>
      <w:r>
        <w:t>Bundesverwaltung, 2005-05-18, DE</w:t>
      </w:r>
    </w:p>
    <w:p>
      <w:r>
        <w:rPr>
          <w:b/>
        </w:rPr>
        <w:t xml:space="preserve">Quelle: </w:t>
      </w:r>
      <w:r>
        <w:t>https://mcp.opencaselaw.ch/entscheid/ch_vb_06-3175_9059_</w:t>
      </w:r>
    </w:p>
    <w:p>
      <w:r>
        <w:t>FR: CH_VB 06-3175 9059 du 18 mai 2005</w:t>
      </w:r>
    </w:p>
    <w:p>
      <w:r>
        <w:t>IT: CH_VB 06-3175 9059 del 18 maggio 2005</w:t>
      </w:r>
    </w:p>
    <w:p>
      <w:pPr>
        <w:pStyle w:val="Heading2"/>
      </w:pPr>
      <w:r>
        <w:t>Erwägungen</w:t>
      </w:r>
    </w:p>
    <w:p>
      <w:r>
        <w:rPr>
          <w:b/>
        </w:rPr>
        <w:t>E. 1</w:t>
      </w:r>
    </w:p>
    <w:p>
      <w:r>
        <w:t>Caractéristiques du produit (pour tous les produits mentionnés) Substance(s) active(s): Ethephon 480 g/l Formulation: SL</w:t>
      </w:r>
    </w:p>
    <w:p>
      <w:r>
        <w:rPr>
          <w:b/>
        </w:rPr>
        <w:t>E. 2</w:t>
      </w:r>
    </w:p>
    <w:p>
      <w:r>
        <w:t>= en cas de mise à fleur importante (70 %), second traitement, mais sans adjonction de naphthylacétamide, à une température dépassant 18 °C, deux semaines après le premier traitement; dosage: 1000 l/ha sous forme de bouillie de pulvérisation</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w:t>
      </w:r>
    </w:p>
    <w:p>
      <w:r>
        <w:t>9063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9059-9063 Page Pagina Ref. No 10 140 149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