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06-3159 9049 vom 12. Juni 1995</w:t>
      </w:r>
    </w:p>
    <w:p>
      <w:r>
        <w:t>Bundesverwaltung, 1995-06-12, DE</w:t>
      </w:r>
    </w:p>
    <w:p>
      <w:r>
        <w:rPr>
          <w:b/>
        </w:rPr>
        <w:t xml:space="preserve">Quelle: </w:t>
      </w:r>
      <w:r>
        <w:t>https://mcp.opencaselaw.ch/entscheid/ch_vb_06-3159_9049_</w:t>
      </w:r>
    </w:p>
    <w:p>
      <w:r>
        <w:t>FR: CH_VB 06-3159 9049 du 12 juin 1995</w:t>
      </w:r>
    </w:p>
    <w:p>
      <w:r>
        <w:t>IT: CH_VB 06-3159 9049 del 12 giugno 1995</w:t>
      </w:r>
    </w:p>
    <w:p>
      <w:pPr>
        <w:pStyle w:val="Heading2"/>
      </w:pPr>
      <w:r>
        <w:t>Volltext</w:t>
      </w:r>
    </w:p>
    <w:p>
      <w:r>
        <w:t>2006-3159 9049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12 décembre 2006 SECO – Direction du travail Installations et appareils techniques:</w:t>
      </w:r>
    </w:p>
    <w:p>
      <w:r>
        <w:t>Marcel Berthoud</w:t>
      </w:r>
    </w:p>
    <w:p>
      <w:r>
        <w:t>1 Voir également FF 1995 III 1341, 1996 I 336, 1996 III 126, 1996 V 502, 1997 IV 503, 1999 8988, 2000 5636, 2001 3939, 2002 2469, 2003 4871 5545 6675, 2004 953 2411, 2005 891 4086, 2006 1879 3792 5893</w:t>
      </w:r>
    </w:p>
    <w:p>
      <w:r>
        <w:t>9050 Annexe Normes techniques pour appareils à gaz Numéro Titre</w:t>
      </w:r>
    </w:p>
    <w:p>
      <w:r>
        <w:t>Norme remplacée Réféérence journal off.-CE</w:t>
      </w:r>
    </w:p>
    <w:p>
      <w:r>
        <w:t>EN 203-2-2 Appareils de cuisine professionnelle utilisant les combustibles gazeux – Partie 2-2: Exigences particulières – Fours</w:t>
      </w:r>
    </w:p>
    <w:p>
      <w:r>
        <w:t>EN 203-2:1995 2006/C 268/10 EN 203-2-11 Appareils de cuisine professionnelle utilisant les combustibles gazeux – Partie 2-11: Exigences particulières – Cuiseurs à pâtes</w:t>
      </w:r>
    </w:p>
    <w:p>
      <w:r>
        <w:t>EN 203-2:1995 2006/C 268/10 EN 416-2 Tubes radiants suspendus à monobrûleurs à usage non domestique utilisant les combustibles gazeux – Partie 2: Utilisa- tion rationnelle de l'énergie</w:t>
      </w:r>
    </w:p>
    <w:p>
      <w:r>
        <w:t>2006/C 268/10 EN 419-2 Appareils surélevés de chauffage à rayonnement lumineux au gaz, à usage non domestique – Partie 2: Utilisation rationnelle de l'énergie</w:t>
      </w:r>
    </w:p>
    <w:p>
      <w:r>
        <w:t>2006/C 268/10 EN 483/A2/AC Chaudières de chauffage central utilisant les combustibles gazeux – Chaudières des types C dont le débit calorifique nominal est inférieur ou égal à 70 kW – Amende- ment A2-AC</w:t>
      </w:r>
    </w:p>
    <w:p>
      <w:r>
        <w:t>2006/C 268/10 EN 1854 Dispositifs de surveillance de pression pour brûleurs à gaz et appareils à gaz</w:t>
      </w:r>
    </w:p>
    <w:p>
      <w:r>
        <w:t>EN 1854:1997 2006/C 268/10</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2006 Année Anno Band 1 Volume Volume Heft 49 Cahier Numero Geschäftsnummer --- Numéro d'affaire Numero dell'oggetto Datum 12.12.2006 Date Data Seite 9049-9050 Page Pagina Ref. No 10 140 145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