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06-2198 6453 vom 18. August 2006</w:t>
      </w:r>
    </w:p>
    <w:p>
      <w:r>
        <w:t>Bundesverwaltung, 2006-08-18, DE</w:t>
      </w:r>
    </w:p>
    <w:p>
      <w:r>
        <w:rPr>
          <w:b/>
        </w:rPr>
        <w:t xml:space="preserve">Quelle: </w:t>
      </w:r>
      <w:r>
        <w:t>https://mcp.opencaselaw.ch/entscheid/ch_vb_06-2198_6453_</w:t>
      </w:r>
    </w:p>
    <w:p>
      <w:r>
        <w:t>FR: CH_VB 06-2198 6453 du 18 août 2006</w:t>
      </w:r>
    </w:p>
    <w:p>
      <w:r>
        <w:t>IT: CH_VB 06-2198 6453 del 18 agosto 2006</w:t>
      </w:r>
    </w:p>
    <w:p>
      <w:pPr>
        <w:pStyle w:val="Heading2"/>
      </w:pPr>
      <w:r>
        <w:t>Erwägungen</w:t>
      </w:r>
    </w:p>
    <w:p>
      <w:r>
        <w:rPr>
          <w:b/>
        </w:rPr>
        <w:t>E. 1</w:t>
      </w:r>
    </w:p>
    <w:p>
      <w:r>
        <w:t>En admission de la requête du 1er avril l’appareil à sous SPUTNIK FOUR avec la version du programme 1.01 est qualifié d’appareil à sous servant aux jeux d’adresse au sens de l’art. 3, al. 3 LMJ.</w:t>
      </w:r>
    </w:p>
    <w:p>
      <w:r>
        <w:rPr>
          <w:b/>
        </w:rPr>
        <w:t>E. 2</w:t>
      </w:r>
    </w:p>
    <w:p>
      <w:r>
        <w:t>L’installation et l’exploitation de l’appareil à sous SPUTNIK FOUR avec la version du programme 1.01 sont autorisées sous réserve d’autres disposi- tions legales.</w:t>
      </w:r>
    </w:p>
    <w:p>
      <w:r>
        <w:rPr>
          <w:b/>
        </w:rPr>
        <w:t>E. 3</w:t>
      </w:r>
    </w:p>
    <w:p>
      <w:r>
        <w:t>Toute modification de l’appareil devra préalablement être soumise à la Com- mission fédérale des maisons de jeu pour examen et autorisation.</w:t>
      </w:r>
    </w:p>
    <w:p>
      <w:r>
        <w:rPr>
          <w:b/>
        </w:rPr>
        <w:t>E. 4</w:t>
      </w:r>
    </w:p>
    <w:p>
      <w:r>
        <w:t>Les frais de procédure par 6700 francs sont mis à la charge de Monsieur Peter Schorno (art. 112 ss OLMJ). Ce montant doit être versé dans un délai de 30 jours à partir de l’entrée en force de la présente décision. Une facture correspondante sera envoyée.</w:t>
      </w:r>
    </w:p>
    <w:p>
      <w:r>
        <w:rPr>
          <w:b/>
        </w:rPr>
        <w:t>E. 5</w:t>
      </w:r>
    </w:p>
    <w:p>
      <w:r>
        <w:t>Un éventuel recours contre la présente décision n’aura pas d’effet suspensif, conformément à l’art. 55 PA.</w:t>
      </w:r>
    </w:p>
    <w:p>
      <w:r>
        <w:rPr>
          <w:b/>
        </w:rPr>
        <w:t>E. 6</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29 août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FOUR version 1.01 In Bundesblatt Dans Feuille fédérale In Foglio federale Jahr 2006 Année Anno Band 1 Volume Volume Heft 34 Cahier Numero Geschäftsnummer --- Numéro d'affaire Numero dell'oggetto Datum 29.08.2006 Date Data Seite 6453-6453 Page Pagina Ref. No</w:t>
      </w:r>
    </w:p>
    <w:p>
      <w:r>
        <w:rPr>
          <w:b/>
        </w:rPr>
        <w:t>E. 10</w:t>
      </w:r>
    </w:p>
    <w:p>
      <w:r>
        <w:t>139 852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