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06-2073 9027 vom 12. Dezember 2006</w:t>
      </w:r>
    </w:p>
    <w:p>
      <w:r>
        <w:t>Bundesverwaltung, 2006-12-12, DE</w:t>
      </w:r>
    </w:p>
    <w:p>
      <w:r>
        <w:rPr>
          <w:b/>
        </w:rPr>
        <w:t xml:space="preserve">Quelle: </w:t>
      </w:r>
      <w:r>
        <w:t>https://mcp.opencaselaw.ch/entscheid/ch_vb_06-2073_9027_</w:t>
      </w:r>
    </w:p>
    <w:p>
      <w:r>
        <w:t>FR: CH_VB 06-2073 9027 du 12 décembre 2006</w:t>
      </w:r>
    </w:p>
    <w:p>
      <w:r>
        <w:t>IT: CH_VB 06-2073 9027 del 12 dicembre 2006</w:t>
      </w:r>
    </w:p>
    <w:p>
      <w:pPr>
        <w:pStyle w:val="Heading2"/>
      </w:pPr>
      <w:r>
        <w:t>Erwägungen</w:t>
      </w:r>
    </w:p>
    <w:p>
      <w:r>
        <w:rPr>
          <w:b/>
        </w:rPr>
        <w:t>E. 1</w:t>
      </w:r>
    </w:p>
    <w:p>
      <w:r>
        <w:t>Ont droit à des prestations de vieillesse les assurés qui ont atteint l’âge de la retraite selon l’art. 21, al. 1, LAVS3 (âge ordinaire de la retraite). Art. 14, al. 2 et 3</w:t>
      </w:r>
    </w:p>
    <w:p>
      <w:r>
        <w:rPr>
          <w:b/>
        </w:rPr>
        <w:t>E. 2</w:t>
      </w:r>
    </w:p>
    <w:p>
      <w:r>
        <w:t>Le taux de conversion minimal s’élève à 6,4 % à l’âge ordinaire de la retraite pour les hommes et les femmes.</w:t>
      </w:r>
    </w:p>
    <w:p>
      <w:r>
        <w:rPr>
          <w:b/>
        </w:rPr>
        <w:t>E. 3</w:t>
      </w:r>
    </w:p>
    <w:p>
      <w:r>
        <w:t>RS 831.10</w:t>
      </w:r>
    </w:p>
    <w:p>
      <w:r>
        <w:t>Prévoyance professionnelle vieillesse, survivants et invalidité. LF 9028 Art. 16 Bonifications de vieillesse Les bonifications de vieillesse sont calculées annuellement en pour-cent du salaire coordonné. Les taux suivants s’appliquent: Age Taux en % du salaire coordonné</w:t>
      </w:r>
    </w:p>
    <w:p>
      <w:r>
        <w:t>25 – 34</w:t>
      </w:r>
    </w:p>
    <w:p>
      <w:r>
        <w:rPr>
          <w:b/>
        </w:rPr>
        <w:t>E. 7</w:t>
      </w:r>
    </w:p>
    <w:p>
      <w:r>
        <w:t>35 – 44</w:t>
      </w:r>
    </w:p>
    <w:p>
      <w:r>
        <w:rPr>
          <w:b/>
        </w:rPr>
        <w:t>E. 10</w:t>
      </w:r>
    </w:p>
    <w:p>
      <w:r>
        <w:t>45 – 54</w:t>
      </w:r>
    </w:p>
    <w:p>
      <w:r>
        <w:rPr>
          <w:b/>
        </w:rPr>
        <w:t>E. 15</w:t>
      </w:r>
    </w:p>
    <w:p>
      <w:r>
        <w:t>55 – âge ordinaire de la retraite</w:t>
      </w:r>
    </w:p>
    <w:p>
      <w:r>
        <w:rPr>
          <w:b/>
        </w:rPr>
        <w:t>E. 18</w:t>
      </w:r>
    </w:p>
    <w:p>
      <w:r>
        <w:t>Art. 24, al. 2 2 La rente d’invalidité est calculée avec le même taux de conversion que la rente de vieillesse à l’âge ordinaire de la retraite. II Dispositions transitoires de la modification du … a. Rentes de vieillesse, de survivants et d’invalidité en cours Le taux de conversion applicable aux rentes de vieillesse, de survivants et d’inva- lidité en cours lors de l’entrée en vigueur de la présente modification est régi par l’ancien droit. b. Taux de conversion minimal Le Conseil fédéral fixe le taux de conversion minimal pour les assurés des classes d’âge qui atteindront l’âge ordinaire de la retraite dans les trois ans suivant l’entrée en vigueur de la présente modification. Il réduit ce taux à 6,4 % dans ce même laps de temps. Il peut fixer des taux de conversion minimaux différents pour les hommes et les femmes.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(Taux de conversion minimal)(Projet) In Bundesblatt Dans Feuille fédérale In Foglio federale Jahr 2006 Année Anno Band 1 Volume Volume Heft 49 Cahier Numero Geschäftsnummer --- Numéro d'affaire Numero dell'oggetto Datum 12.12.2006 Date Data Seite 9027-9028 Page Pagina Ref. No 10 140 137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