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06-1926 6339 vom 17. Juli 2006</w:t>
      </w:r>
    </w:p>
    <w:p>
      <w:r>
        <w:t>Bundesverwaltung, 2006-07-17, DE</w:t>
      </w:r>
    </w:p>
    <w:p>
      <w:r>
        <w:rPr>
          <w:b/>
        </w:rPr>
        <w:t xml:space="preserve">Quelle: </w:t>
      </w:r>
      <w:r>
        <w:t>https://mcp.opencaselaw.ch/entscheid/ch_vb_06-1926_6339_</w:t>
      </w:r>
    </w:p>
    <w:p>
      <w:r>
        <w:t>FR: CH_VB 06-1926 6339 du 17 juillet 2006</w:t>
      </w:r>
    </w:p>
    <w:p>
      <w:r>
        <w:t>IT: CH_VB 06-1926 6339 del 17 luglio 2006</w:t>
      </w:r>
    </w:p>
    <w:p>
      <w:pPr>
        <w:pStyle w:val="Heading2"/>
      </w:pPr>
      <w:r>
        <w:t>Erwägungen</w:t>
      </w:r>
    </w:p>
    <w:p>
      <w:r>
        <w:rPr>
          <w:b/>
        </w:rPr>
        <w:t>E. 2</w:t>
      </w:r>
    </w:p>
    <w:p>
      <w:r>
        <w:t>Des tirés à part de l’extension peuvent être obtenus auprès de l’OFCL, Vente des publications fédérales, 3003 Berne.</w:t>
      </w:r>
    </w:p>
    <w:p>
      <w:r>
        <w:rPr>
          <w:b/>
        </w:rPr>
        <w:t>E. 3</w:t>
      </w:r>
    </w:p>
    <w:p>
      <w:r>
        <w:t>Corrrespond à l’art. 2, al. 4 de l’arrêté du Conseil fédéral du 19 janvier 2004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branche privée de la sécurité In Bundesblatt Dans Feuille fédérale In Foglio federale Jahr 2006 Année Anno Band 1 Volume Volume Heft 29 Cahier Numero Geschäftsnummer --- Numéro d'affaire Numero dell'oggetto Datum 25.07.2006 Date Data Seite 6339-6340 Page Pagina Ref. No 10 139 802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