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06-0288 3665 vom 18. April 2006</w:t>
      </w:r>
    </w:p>
    <w:p>
      <w:r>
        <w:t>Bundesverwaltung, 2006-04-18, DE</w:t>
      </w:r>
    </w:p>
    <w:p>
      <w:r>
        <w:rPr>
          <w:b/>
        </w:rPr>
        <w:t xml:space="preserve">Quelle: </w:t>
      </w:r>
      <w:r>
        <w:t>https://mcp.opencaselaw.ch/entscheid/ch_vb_06-0288_3665_</w:t>
      </w:r>
    </w:p>
    <w:p>
      <w:r>
        <w:t>FR: CH_VB 06-0288 3665 du 18 avril 2006</w:t>
      </w:r>
    </w:p>
    <w:p>
      <w:r>
        <w:t>IT: CH_VB 06-0288 3665 del 18 aprile 2006</w:t>
      </w:r>
    </w:p>
    <w:p>
      <w:pPr>
        <w:pStyle w:val="Heading2"/>
      </w:pPr>
      <w:r>
        <w:t>Erwägungen</w:t>
      </w:r>
    </w:p>
    <w:p>
      <w:r>
        <w:rPr>
          <w:b/>
        </w:rPr>
        <w:t>E. 1</w:t>
      </w:r>
    </w:p>
    <w:p>
      <w:r>
        <w:t>L’entreprise devient une société anonyme régie par les dispositions du code des obligations3. Ses rapports juridiques ne s’en trouvent pas modifiés.</w:t>
      </w:r>
    </w:p>
    <w:p>
      <w:r>
        <w:rPr>
          <w:b/>
        </w:rPr>
        <w:t>E. 2</w:t>
      </w:r>
    </w:p>
    <w:p>
      <w:r>
        <w:t>Le Conseil fédéral fixe la date de la transformation et prend les décisions nécessai- res à cette transformation. Les art. 99 à 101 de la loi du 3 octobre 2003 sur la fusion (LFus)4 ne s’appliquent pas.</w:t>
      </w:r>
    </w:p>
    <w:p>
      <w:r>
        <w:rPr>
          <w:b/>
        </w:rPr>
        <w:t>E. 3</w:t>
      </w:r>
    </w:p>
    <w:p>
      <w:r>
        <w:t>RS 220</w:t>
      </w:r>
    </w:p>
    <w:p>
      <w:r>
        <w:rPr>
          <w:b/>
        </w:rPr>
        <w:t>E. 4</w:t>
      </w:r>
    </w:p>
    <w:p>
      <w:r>
        <w:t>La transformation prend effet avec l’inscription au registre du commerce.</w:t>
      </w:r>
    </w:p>
    <w:p>
      <w:r>
        <w:rPr>
          <w:b/>
        </w:rPr>
        <w:t>E. 5</w:t>
      </w:r>
    </w:p>
    <w:p>
      <w:r>
        <w:t>Le Conseil fédéral est compétent pour la vente de la participation de la Confédéra- tion dans l’entreprise. II Par l’inscription au registre du commerce (art. 28a, al. 4), les art. 1 à 28 de la pré- sente loi sont abrogés. III 1 La présente loi est sujette au référendum facultatif. 2 Le Conseil fédéral fixe la date de l’entrée en vigueur. 3 Il décide l’abrogation de la présente loi dès que la vente au sens de l’art. 28a, al. 5 a été conclue.</w:t>
      </w:r>
    </w:p>
    <w:p>
      <w:r>
        <w:t>Schweizerisches Bundesarchiv, Digitale Amtsdruckschriften Archives fédérales suisses, Publications officielles numérisées Archivio federale svizzero, Pubblicazioni ufficiali digitali Loi sur l'entreprise de télécommunications (Indépendance de Swisscom) (Projet) In Bundesblatt Dans Feuille fédérale In Foglio federale Jahr 2006 Année Anno Band 1 Volume Volume Heft 15 Cahier Numero Geschäftsnummer --- Numéro d'affaire Numero dell'oggetto Datum 18.04.2006 Date Data Seite 3665-3666 Page Pagina Ref. No</w:t>
      </w:r>
    </w:p>
    <w:p>
      <w:r>
        <w:rPr>
          <w:b/>
        </w:rPr>
        <w:t>E. 10</w:t>
      </w:r>
    </w:p>
    <w:p>
      <w:r>
        <w:t>139 540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