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05-3476 1747 vom 14. Februar 2006</w:t>
      </w:r>
    </w:p>
    <w:p>
      <w:r>
        <w:t>Bundesverwaltung, 2006-02-14, DE</w:t>
      </w:r>
    </w:p>
    <w:p>
      <w:r>
        <w:rPr>
          <w:b/>
        </w:rPr>
        <w:t xml:space="preserve">Quelle: </w:t>
      </w:r>
      <w:r>
        <w:t>https://mcp.opencaselaw.ch/entscheid/ch_vb_05-3476_1747_</w:t>
      </w:r>
    </w:p>
    <w:p>
      <w:r>
        <w:t>FR: CH_VB 05-3476 1747 du 14 février 2006</w:t>
      </w:r>
    </w:p>
    <w:p>
      <w:r>
        <w:t>IT: CH_VB 05-3476 1747 del 14 febbraio 2006</w:t>
      </w:r>
    </w:p>
    <w:p>
      <w:pPr>
        <w:pStyle w:val="Heading2"/>
      </w:pPr>
      <w:r>
        <w:t>Erwägungen</w:t>
      </w:r>
    </w:p>
    <w:p>
      <w:r>
        <w:rPr>
          <w:b/>
        </w:rPr>
        <w:t>E. 1</w:t>
      </w:r>
    </w:p>
    <w:p>
      <w:r>
        <w:t>Les droits et obligations des Etats Parties au présent Accord relatifs aux sub- ventions et aux mesures de compensation sont régis par les dispositions de l’art. XVI du GATT 1994 et de l’Accord de l’OMC sur les subventions et les mesures compensatoires, sauf dispositions spécifiques au présent article.</w:t>
      </w:r>
    </w:p>
    <w:p>
      <w:r>
        <w:rPr>
          <w:b/>
        </w:rPr>
        <w:t>E. 2</w:t>
      </w:r>
    </w:p>
    <w:p>
      <w:r>
        <w:t>L’étendue des obligations des Etats Parties au présent Accord d’assurer la transparence quant aux subventions est déterminée par les critères énoncés dans l’art. XVI:1 du GATT 1994 et dans l’art. 25 de l’Accord de l’OMC sur les subventions et les mesures compensatoires.</w:t>
      </w:r>
    </w:p>
    <w:p>
      <w:r>
        <w:rPr>
          <w:b/>
        </w:rPr>
        <w:t>E. 3</w:t>
      </w:r>
    </w:p>
    <w:p>
      <w:r>
        <w:t>L’art. 25, par. 3, al. a, est abrogé.</w:t>
      </w:r>
    </w:p>
    <w:p>
      <w:r>
        <w:t>1 Traduction du texte original anglais.</w:t>
      </w:r>
    </w:p>
    <w:p>
      <w:r>
        <w:t>Décision 3/2004 du Comité mixte AELE-Roumanie</w:t>
      </w:r>
    </w:p>
    <w:p>
      <w:r>
        <w:t>1748</w:t>
      </w:r>
    </w:p>
    <w:p>
      <w:r>
        <w:rPr>
          <w:b/>
        </w:rPr>
        <w:t>E. 4</w:t>
      </w:r>
    </w:p>
    <w:p>
      <w:r>
        <w:t>Les al. b et c de l’art. 25, par. 3, deviennent respectivement les al. a et b.</w:t>
      </w:r>
    </w:p>
    <w:p>
      <w:r>
        <w:rPr>
          <w:b/>
        </w:rPr>
        <w:t>E. 5</w:t>
      </w:r>
    </w:p>
    <w:p>
      <w:r>
        <w:t>L’art. 2 de l’Annexe II de l’Accord est abrogé.</w:t>
      </w:r>
    </w:p>
    <w:p>
      <w:r>
        <w:rPr>
          <w:b/>
        </w:rPr>
        <w:t>E. 6</w:t>
      </w:r>
    </w:p>
    <w:p>
      <w:r>
        <w:t>Les amendements susmentionnés entreront en vigueur lorsque les instruments d’acceptation auront été déposés par tous les Etats Parties au présent Accord auprès du dépositaire, qui le notifiera à toutes les parties contractantes.</w:t>
      </w:r>
    </w:p>
    <w:p>
      <w:r>
        <w:rPr>
          <w:b/>
        </w:rPr>
        <w:t>E. 7</w:t>
      </w:r>
    </w:p>
    <w:p>
      <w:r>
        <w:t>Le Secrétariat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Décision 3/2004 du Comité mixte AELE-Roumanie In Bundesblatt Dans Feuille fédérale In Foglio federale Jahr 2006 Année Anno Band 1 Volume Volume Heft 06 Cahier Numero Geschäftsnummer --- Numéro d'affaire Numero dell'oggetto Datum 14.02.2006 Date Data Seite 1747-1748 Page Pagina Ref. No</w:t>
      </w:r>
    </w:p>
    <w:p>
      <w:r>
        <w:rPr>
          <w:b/>
        </w:rPr>
        <w:t>E. 10</w:t>
      </w:r>
    </w:p>
    <w:p>
      <w:r>
        <w:t>139 323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