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05-3429 1801 vom 1. Januar 2007</w:t>
      </w:r>
    </w:p>
    <w:p>
      <w:r>
        <w:t>Bundesverwaltung, 2007-01-01, DE</w:t>
      </w:r>
    </w:p>
    <w:p>
      <w:r>
        <w:rPr>
          <w:b/>
        </w:rPr>
        <w:t xml:space="preserve">Quelle: </w:t>
      </w:r>
      <w:r>
        <w:t>https://mcp.opencaselaw.ch/entscheid/ch_vb_05-3429_1801_</w:t>
      </w:r>
    </w:p>
    <w:p>
      <w:r>
        <w:t>FR: CH_VB 05-3429 1801 du 1 janvier 2007</w:t>
      </w:r>
    </w:p>
    <w:p>
      <w:r>
        <w:t>IT: CH_VB 05-3429 1801 del 1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Conseil fédéral présente à l’Assemblée fédérale un rapport annuel lorsque: ...</w:t>
      </w:r>
    </w:p>
    <w:p>
      <w:r>
        <w:rPr>
          <w:b/>
        </w:rPr>
        <w:t>E. 2</w:t>
      </w:r>
    </w:p>
    <w:p>
      <w:r>
        <w:t>Loi fédérale du 13 décembre 1974 sur l’importation et l’exportation de produits agricoles transformés3 Art. 6a, 1re phrase Le Conseil fédéral soumet à l’approbation de l’Assemblée fédérale son rapport annuel sur les mesures qu’il a prises en vertu des art. 1 et 3. ...</w:t>
      </w:r>
    </w:p>
    <w:p>
      <w:r>
        <w:rPr>
          <w:b/>
        </w:rPr>
        <w:t>E. 3</w:t>
      </w:r>
    </w:p>
    <w:p>
      <w:r>
        <w:t>RS 632.111.72</w:t>
      </w:r>
    </w:p>
    <w:p>
      <w:r>
        <w:rPr>
          <w:b/>
        </w:rPr>
        <w:t>E. 4</w:t>
      </w:r>
    </w:p>
    <w:p>
      <w:r>
        <w:t>Aux rapports sur la politique économique extérieure sont joints les rapports annuels fondés sur: a. l’art. 13, al. 1, de la loi sur le tarif des douanes du 9 octobre 19866; b. l’art. 6a de la loi fédérale sur l’importation et l’exportation de produits agri- coles transformés du 13 décembre 19747; c. l’art. 4, al. 2, de l’arrêté sur les préférences tarifaires du 9 octobre 19818. II 1 La présente loi est sujette au référendum. 2 Elle entre en vigueur, en l’absence de référendum, le 1er janvier 2007; en cas de référendum, le Conseil fédéral fixe la date de l’entrée en vigueur.</w:t>
      </w:r>
    </w:p>
    <w:p>
      <w:r>
        <w:rPr>
          <w:b/>
        </w:rPr>
        <w:t>E. 5</w:t>
      </w:r>
    </w:p>
    <w:p>
      <w:r>
        <w:t>RS 946.201</w:t>
      </w:r>
    </w:p>
    <w:p>
      <w:r>
        <w:rPr>
          <w:b/>
        </w:rPr>
        <w:t>E. 6</w:t>
      </w:r>
    </w:p>
    <w:p>
      <w:r>
        <w:t>RS 632.10</w:t>
      </w:r>
    </w:p>
    <w:p>
      <w:r>
        <w:rPr>
          <w:b/>
        </w:rPr>
        <w:t>E. 7</w:t>
      </w:r>
    </w:p>
    <w:p>
      <w:r>
        <w:t>RS 632.111.72</w:t>
      </w:r>
    </w:p>
    <w:p>
      <w:r>
        <w:rPr>
          <w:b/>
        </w:rPr>
        <w:t>E. 8</w:t>
      </w:r>
    </w:p>
    <w:p>
      <w:r>
        <w:t>RS 632.91</w:t>
      </w:r>
    </w:p>
    <w:p>
      <w:r>
        <w:t>Schweizerisches Bundesarchiv, Digitale Amtsdruckschriften Archives fédérales suisses, Publications officielles numérisées Archivio federale svizzero, Pubblicazioni ufficiali digitali Loi fédérale relative à la nouvelle réglementation concernant le rapport sur la politique économique extérieure In Bundesblatt Dans Feuille fédérale In Foglio federale Jahr 2006 Année Anno Band 1 Volume Volume Heft 06 Cahier Numero Geschäftsnummer --- Numéro d'affaire Numero dell'oggetto Datum 14.02.2006 Date Data Seite 1801-1802 Page Pagina Ref. No</w:t>
      </w:r>
    </w:p>
    <w:p>
      <w:r>
        <w:rPr>
          <w:b/>
        </w:rPr>
        <w:t>E. 10</w:t>
      </w:r>
    </w:p>
    <w:p>
      <w:r>
        <w:t>139 329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