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05-0408 1609 vom 1. März 2005</w:t>
      </w:r>
    </w:p>
    <w:p>
      <w:r>
        <w:t>Bundesverwaltung, 2005-03-01, DE</w:t>
      </w:r>
    </w:p>
    <w:p>
      <w:r>
        <w:rPr>
          <w:b/>
        </w:rPr>
        <w:t xml:space="preserve">Quelle: </w:t>
      </w:r>
      <w:r>
        <w:t>https://mcp.opencaselaw.ch/entscheid/ch_vb_05-0408_1609_</w:t>
      </w:r>
    </w:p>
    <w:p>
      <w:r>
        <w:t>FR: CH_VB 05-0408 1609 du 1 mars 2005</w:t>
      </w:r>
    </w:p>
    <w:p>
      <w:r>
        <w:t>IT: CH_VB 05-0408 1609 del 1 marzo 2005</w:t>
      </w:r>
    </w:p>
    <w:p>
      <w:pPr>
        <w:pStyle w:val="Heading2"/>
      </w:pPr>
      <w:r>
        <w:t>Volltext</w:t>
      </w:r>
    </w:p>
    <w:p>
      <w:r>
        <w:t>2005-0408 1609 Demandes d’octroi de permis concernant la durée du travail</w:t>
      </w:r>
    </w:p>
    <w:p>
      <w:r>
        <w:t>Permis de travail de nuit et pour les jours fériés (Art. 17, 19 et 20a LTr) – 05-5908 / 100116 Pavatex SA, 1701 Fribourg Unités d’usinage et de finition PAVATEX horaire d’exploitation indispensable pour des raisons économiques 25 H 13.02.2005–12.02.2008 (Renouvellement) Permis de travail de nuit et du dimanche (Service de piquet) (Art. 14 et 15 OLT1) – 05-5916 / 110165 Record Maintenance SA, 1227 Carouge GE Dépannage besoins spéciaux de consommation 1 H 01.03.2005–29.02.2008 (Nouveau permis) Permis de travail en continu (Art. 24 LTr, art. 36–38 OLT1) – 05-5909 / 100116 Pavatex SA, 1701 Fribourg Ligne de production (fabrication) de panneaux bruts (Pavatex et Pavaroc) horaire d’exploitation indispensable pour des raisons économiques 19 H 13.02.2005–12.02.2008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1er mars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08 Cahier Numero Geschäftsnummer --- Numéro d'affaire Numero dell'oggetto Datum 01.03.2005 Date Data Seite 1609-1609 Page Pagina Ref. No 10 138 431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