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04-2128 4025 vom 13. Juni 2005</w:t>
      </w:r>
    </w:p>
    <w:p>
      <w:r>
        <w:t>Bundesverwaltung, 2005-06-13, DE</w:t>
      </w:r>
    </w:p>
    <w:p>
      <w:r>
        <w:rPr>
          <w:b/>
        </w:rPr>
        <w:t xml:space="preserve">Quelle: </w:t>
      </w:r>
      <w:r>
        <w:t>https://mcp.opencaselaw.ch/entscheid/ch_vb_04-2128_4025_</w:t>
      </w:r>
    </w:p>
    <w:p>
      <w:r>
        <w:t>FR: CH_VB 04-2128 4025 du 13 juin 2005</w:t>
      </w:r>
    </w:p>
    <w:p>
      <w:r>
        <w:t>IT: CH_VB 04-2128 4025 del 13 giugno 2005</w:t>
      </w:r>
    </w:p>
    <w:p>
      <w:pPr>
        <w:pStyle w:val="Heading2"/>
      </w:pPr>
      <w:r>
        <w:t>Volltext</w:t>
      </w:r>
    </w:p>
    <w:p>
      <w:r>
        <w:t>2004-2128 4025 Arrêté fédéral accordant la garantie fédérale à la Constitution du canton de Fribourg du 13 juin 2005</w:t>
      </w:r>
    </w:p>
    <w:p>
      <w:r>
        <w:t>L’Assemblée fédérale de la Confédération suisse, vu les art. 51 et 172, al. 2, de la Constitution1, vu le message du Conseil fédéral du 22 décembre 20042, arrête: Art. 1 La garantie fédérale est accordée à la Constitution du canton de Fribourg, qui a été acceptée lors de la votation populaire du 16 mai 2004. Art. 2 Le présent arrêté n’est pas sujet au référendum. Conseil des Etats, 8 juin 2005 Conseil national, 13 juin 2005 Le président: Bruno Frick Le secrétaire: Christoph Lanz La présidente: Thérèse Meyer Le secrétaire: Christophe Thomann</w:t>
      </w:r>
    </w:p>
    <w:p>
      <w:r>
        <w:t>1 RS 101 2 FF 2005 359</w:t>
      </w:r>
    </w:p>
    <w:p>
      <w:r>
        <w:t>Garantie fédérale à la constitution du canton de Fribourg. AF 4026</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Fribourg In Bundesblatt Dans Feuille fédérale In Foglio federale Jahr 2005 Année Anno Band 1 Volume Volume Heft 26 Cahier Numero Geschäftsnummer --- Numéro d'affaire Numero dell'oggetto Datum 05.07.2005 Date Data Seite 4025-4026 Page Pagina Ref. No 10 138 733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