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04-1609 4299 vom 14. Juni 1993</w:t>
      </w:r>
    </w:p>
    <w:p>
      <w:r>
        <w:t>Bundesverwaltung, 1993-06-14, DE</w:t>
      </w:r>
    </w:p>
    <w:p>
      <w:r>
        <w:rPr>
          <w:b/>
        </w:rPr>
        <w:t xml:space="preserve">Quelle: </w:t>
      </w:r>
      <w:r>
        <w:t>https://mcp.opencaselaw.ch/entscheid/ch_vb_04-1609_4299_</w:t>
      </w:r>
    </w:p>
    <w:p>
      <w:r>
        <w:t>FR: CH_VB 04-1609 4299 du 14 juin 1993</w:t>
      </w:r>
    </w:p>
    <w:p>
      <w:r>
        <w:t>IT: CH_VB 04-1609 4299 del 14 giugno 1993</w:t>
      </w:r>
    </w:p>
    <w:p>
      <w:pPr>
        <w:pStyle w:val="Heading2"/>
      </w:pPr>
      <w:r>
        <w:t>Erwägungen</w:t>
      </w:r>
    </w:p>
    <w:p>
      <w:r>
        <w:rPr>
          <w:b/>
        </w:rPr>
        <w:t>E. 1</w:t>
      </w:r>
    </w:p>
    <w:p>
      <w:r>
        <w:t>Titulaire de l’autorisation a. Une autorisation particulière de lever le secret professionnel au sens des art. 321bis du code pénal suisse (CP; RS 311.0) et 2 de l’ordonnance concer- nant les autorisations de lever le secret professionnel en matière de recherche médicale (OALSP; RS 235.154) est octroyée au Dr Claudia Kuehni, méde- cin-cherf à l’Institut de médecine sociale et préventive (ISPM), en tant que directrice de projet responsable pour le «Kinderkrebsregister», ainsi qu’à Madame Gisela Michel (manager du projet) et à Madame Elisabeth Kiraly (saisie des données), aux conditions et aux charges mentionnées ci-après, pour la récolte de données non anonymes selon le ch. 2, et dans les limites des buts prévus sous ch. 3. Elles doivent signer une déclaration sur leur obli- gation de garder le secret en vertu de l’art. 321bis CP. b. Une autorisation particulière de lever le secret professionnel au sens des art. 321bis du code pénal suisse (CP; RS 311.0) et 2 de l’ordonnance concer- nant les autorisations de lever le secret professionnel en matière de recherche médicale (OALSP; RS 235.154) est octroyée au Dr Nicolas von der Weid, secrétaire du Groupe suisse des oncologues pédiatriques (SPOG), ainsi qu’à Madame Liselotte Lang, du Secrétariat central SPOG, aux conditions et aux charges mentionnées ci-après, pour la récolte de données non anonymes selon le ch. 2, et dans les limites des buts prévus sous ch. 3. Ils doivent signer une déclaration sur leur obligation de garder le secret en vertu de l’art. 321bis CP.</w:t>
      </w:r>
    </w:p>
    <w:p>
      <w:r>
        <w:rPr>
          <w:b/>
        </w:rPr>
        <w:t>E. 2</w:t>
      </w:r>
    </w:p>
    <w:p>
      <w:r>
        <w:t>Autorisation particulière pour la divulgation de données personnelles a. L’autorisation délie du secret professionnel les médecins traitants des centres cliniques pour l’oncologie pédiatrique de Berne, Bâle, Lucerne, Zürich, Aarau, St. Gall, Lausanne, Genève et Locarno envers les titulaires de l’auto- risation au sens du ch. 1. Ils sont autorisés à leur donner connaissance des données personnelles des patients hospitalisés dans une des cliniques sus-</w:t>
      </w:r>
    </w:p>
    <w:p>
      <w:r>
        <w:t>4300 mentionnées, patients auprès desquels le consentement au transfert des don- nées n’a pas pu être recueilli. Les données peuvent uniquement être commu- niquées pour le but décrit sous ch. 3. b. L’octroi de l’autorisation n’engendre pour personne l’obligation de commu- niquer les données.</w:t>
      </w:r>
    </w:p>
    <w:p>
      <w:r>
        <w:rPr>
          <w:b/>
        </w:rPr>
        <w:t>E. 3</w:t>
      </w:r>
    </w:p>
    <w:p>
      <w:r>
        <w:t>But de la communication des données La communication de données soumises au secret professionnel au sens de l’art. 321bis CP n’est autorisée que pour le «Schweizerischen Kinderkrebsregister».</w:t>
      </w:r>
    </w:p>
    <w:p>
      <w:r>
        <w:rPr>
          <w:b/>
        </w:rPr>
        <w:t>E. 4</w:t>
      </w:r>
    </w:p>
    <w:p>
      <w:r>
        <w:t>Conservation des données / Autorisation d’accès Les titulaires de l’autorisation doivent protéger les données personnelles non ano- nymes d’un accès non autorisé.</w:t>
      </w:r>
    </w:p>
    <w:p>
      <w:r>
        <w:rPr>
          <w:b/>
        </w:rPr>
        <w:t>E. 5</w:t>
      </w:r>
    </w:p>
    <w:p>
      <w:r>
        <w:t>Responsabilité de la protection des données communiquées. Le Dr méd. Claudia Kuehni, ISPM, et le Dr Nicolas von der Weid, SPOG, sont responsables de la protection des données communiquées.</w:t>
      </w:r>
    </w:p>
    <w:p>
      <w:r>
        <w:rPr>
          <w:b/>
        </w:rPr>
        <w:t>E. 6</w:t>
      </w:r>
    </w:p>
    <w:p>
      <w:r>
        <w:t>Charges a. Les données personnelles non anonymes seront conservées séparément des données anonymes. b. La conservation des données personnelles non anonymes dépend des délais fixés dans le droit cantonal. Si aucun délai n’est fixé, les données doivent être détruites, en application du principe de la proportionnalité, dès qu’elles ne sont plus utiles. La destruction des données doit intervenir selon les instructions du préposé cantonal à la protection des données. c. Les requérants sont tenus d’orienter par écrit les médecins traitants des cen- tres cliniques pour l’oncologie pédiatrique de Berne, Bâle, Lucerne, Zürich, Aarau, St.Gall, Lausanne, Genève et Locarno sur l’étendue de l’autorisation accordée. La lettre d’orientation doit être soumise, pour approbation, au Président de la Commission d’experts par l’intermédiaire de son secrétariat, dès que possible. Pour les données récoltées après le 1er janvier 1996, la lettre d’orientation doit mentionner que les patients ont été informés du transfert de leurs données au «Schweizerische Kinderkrebsregister» et de la possibilité d’exercer leur doit de veto. d. Les requérants doivent informer la Commission d’experts au terme de la res- tructuration prévue du «Schweizerisches Kinderkrebsregister». Une fois informée, la Commission d’experts évaluera l’opportunité d’adopter une décision en modification ou de prendre une autre décision d’autorisation.</w:t>
      </w:r>
    </w:p>
    <w:p>
      <w:r>
        <w:rPr>
          <w:b/>
        </w:rPr>
        <w:t>E. 7</w:t>
      </w:r>
    </w:p>
    <w:p>
      <w:r>
        <w:t>Voie de recours Conformément aux art. 33, al. 1, let. c de la loi fédérale du 19 juin 1992 sur la pro- 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Le mémoire de recours doit être produit en deux exemplaires,</w:t>
      </w:r>
    </w:p>
    <w:p>
      <w:r>
        <w:t>4301 indiquer les conclusions, motifs et moyens de preuve et porter la signature du recou- rant ou de son mandataire.</w:t>
      </w:r>
    </w:p>
    <w:p>
      <w:r>
        <w:rPr>
          <w:b/>
        </w:rPr>
        <w:t>E. 8</w:t>
      </w:r>
    </w:p>
    <w:p>
      <w:r>
        <w:t>Communication et publication La présente décision est notifiée par écrit aux titulaires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031 322 94 94).</w:t>
      </w:r>
    </w:p>
    <w:p>
      <w:r>
        <w:rPr>
          <w:b/>
        </w:rPr>
        <w:t>E. 10</w:t>
      </w:r>
    </w:p>
    <w:p>
      <w:r>
        <w:t>137 867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