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04-1586 4273 vom 20. Juli 2004</w:t>
      </w:r>
    </w:p>
    <w:p>
      <w:r>
        <w:t>Bundesverwaltung, 2004-07-20, DE</w:t>
      </w:r>
    </w:p>
    <w:p>
      <w:r>
        <w:rPr>
          <w:b/>
        </w:rPr>
        <w:t xml:space="preserve">Quelle: </w:t>
      </w:r>
      <w:r>
        <w:t>https://mcp.opencaselaw.ch/entscheid/ch_vb_04-1586_4273_</w:t>
      </w:r>
    </w:p>
    <w:p>
      <w:r>
        <w:t>FR: CH_VB 04-1586 4273 du 20 juillet 2004</w:t>
      </w:r>
    </w:p>
    <w:p>
      <w:r>
        <w:t>IT: CH_VB 04-1586 4273 del 20 luglio 2004</w:t>
      </w:r>
    </w:p>
    <w:p>
      <w:pPr>
        <w:pStyle w:val="Heading2"/>
      </w:pPr>
      <w:r>
        <w:t>Erwägungen</w:t>
      </w:r>
    </w:p>
    <w:p>
      <w:r>
        <w:rPr>
          <w:b/>
        </w:rPr>
        <w:t>E. 20</w:t>
      </w:r>
    </w:p>
    <w:p>
      <w:r>
        <w:t>juillet 2004 La Suisse, Société d’assurances sur la vie, Lausanne</w:t>
      </w:r>
    </w:p>
    <w:p>
      <w:r>
        <w:rPr>
          <w:b/>
        </w:rPr>
        <w:t>E. 21</w:t>
      </w:r>
    </w:p>
    <w:p>
      <w:r>
        <w:t>juillet 2004 Patria Schweizerische Lebensversicherungs-Gesellschaft, Basel pour l’assurance collective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3 août 2004 Office fédéral des assurance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2004 Année Anno Band 1 Volume Volume Heft 30 Cahier Numero Geschäftsnummer --- Numéro d'affaire Numero dell'oggetto Datum 03.08.2004 Date Data Seite 4273-4273 Page Pagina Ref. No 10 137 855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