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04-1498 2913 vom 24. Mai 2005</w:t>
      </w:r>
    </w:p>
    <w:p>
      <w:r>
        <w:t>Bundesverwaltung, 2005-05-24, DE</w:t>
      </w:r>
    </w:p>
    <w:p>
      <w:r>
        <w:rPr>
          <w:b/>
        </w:rPr>
        <w:t xml:space="preserve">Quelle: </w:t>
      </w:r>
      <w:r>
        <w:t>https://mcp.opencaselaw.ch/entscheid/ch_vb_04-1498_2913_</w:t>
      </w:r>
    </w:p>
    <w:p>
      <w:r>
        <w:t>FR: CH_VB 04-1498 2913 du 24 mai 2005</w:t>
      </w:r>
    </w:p>
    <w:p>
      <w:r>
        <w:t>IT: CH_VB 04-1498 2913 del 24 maggio 2005</w:t>
      </w:r>
    </w:p>
    <w:p>
      <w:pPr>
        <w:pStyle w:val="Heading2"/>
      </w:pPr>
      <w:r>
        <w:t>Erwägungen</w:t>
      </w:r>
    </w:p>
    <w:p>
      <w:r>
        <w:rPr>
          <w:b/>
        </w:rPr>
        <w:t>E. 1</w:t>
      </w:r>
    </w:p>
    <w:p>
      <w:r>
        <w:t>Au moyen d’un préavis, l’office AI communique à l’assuré toute décision finale qu’il entend prendre au sujet d’une demande de prestations ou au sujet de la sup- pression ou de la réduction d’une prestation déjà allouée. L’assuré a le droit d’être entendu, conformément à l’art. 42 LPGA3.</w:t>
      </w:r>
    </w:p>
    <w:p>
      <w:r>
        <w:rPr>
          <w:b/>
        </w:rPr>
        <w:t>E. 2</w:t>
      </w:r>
    </w:p>
    <w:p>
      <w:r>
        <w:t>Lorsque la décision prévue touche l’obligation d’un autre assureur d’allouer des prestations, l’office AI entend celui-ci avant de rendre une décision.</w:t>
      </w:r>
    </w:p>
    <w:p>
      <w:r>
        <w:rPr>
          <w:b/>
        </w:rPr>
        <w:t>E. 3</w:t>
      </w:r>
    </w:p>
    <w:p>
      <w:r>
        <w:t>RS 830.1</w:t>
      </w:r>
    </w:p>
    <w:p>
      <w:r>
        <w:rPr>
          <w:b/>
        </w:rPr>
        <w:t>E. 4</w:t>
      </w:r>
    </w:p>
    <w:p>
      <w:r>
        <w:t>RS 830.1</w:t>
      </w:r>
    </w:p>
    <w:p>
      <w:r>
        <w:t>Assurance-invalidité. LF 2914 fixé en fonction de la charge liée à la procédure et indépendamment de la valeur litigieuse, et doit se situer entre 200 et 1000 francs. II Dispositions transitoires relatives à la modification du … (mesures de simplification de la procédure) L’ancien droit s’applique: a. aux décisions rendues par l’office AI, mais pas encore passées en force au moment de l’entrée en vigueur de la modification du …; b. aux oppositions pendantes auprès de l’office AI au moment de l’entrée en vigueur de la modification du …; c. aux recours pendants devant le tribunal cantonal des assurances ou le Tribu- nal fédéral des assurances ou auprès de la Commission fédérale de recours en matière d’assurance-vieillesse, survivants et invalidité au moment de l’entrée en vigueur de la modification du …. III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l'assurance-invalidité (LAI) In Bundesblatt Dans Feuille fédérale In Foglio federale Jahr 2005 Année Anno Band 1 Volume Volume Heft 20 Cahier Numero Geschäftsnummer --- Numéro d'affaire Numero dell'oggetto Datum 24.05.2005 Date Data Seite 2913-2914 Page Pagina Ref. No 10 138 637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