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04-0312 973 vom 24. Februar 2004</w:t>
      </w:r>
    </w:p>
    <w:p>
      <w:r>
        <w:t>Bundesverwaltung, 2004-02-24, DE</w:t>
      </w:r>
    </w:p>
    <w:p>
      <w:r>
        <w:rPr>
          <w:b/>
        </w:rPr>
        <w:t xml:space="preserve">Quelle: </w:t>
      </w:r>
      <w:r>
        <w:t>https://mcp.opencaselaw.ch/entscheid/ch_vb_04-0312_973_</w:t>
      </w:r>
    </w:p>
    <w:p>
      <w:r>
        <w:t>FR: CH_VB 04-0312 973 du 24 février 2004</w:t>
      </w:r>
    </w:p>
    <w:p>
      <w:r>
        <w:t>IT: CH_VB 04-0312 973 del 24 febbraio 2004</w:t>
      </w:r>
    </w:p>
    <w:p>
      <w:pPr>
        <w:pStyle w:val="Heading2"/>
      </w:pPr>
      <w:r>
        <w:t>Volltext</w:t>
      </w:r>
    </w:p>
    <w:p>
      <w:r>
        <w:t>2004-0312 973 Arrêté du Conseil fédéral étendant le champ d’application de la convention collective de travail pour l’industrie suisse du meuble Prolongation et modification du 24 février 2004</w:t>
      </w:r>
    </w:p>
    <w:p>
      <w:r>
        <w:t>Le Conseil fédéral suisse arrête: I La durée de validité des arrêtés du Conseil fédéral du 12 mars 1999, du 18 février 2002 et du 28 janvier 20031 qui étendent la convention collective de travail pour l’industrie suisse du meuble, est prorogée. II Le champ d’application des clauses suivantes, qui modifient la convention collective de travail pour l’industrie suisse du meuble annexée aux arrêtés du Conseil fédéral montionnés sous ch. I, est étendu2:</w:t>
      </w:r>
    </w:p>
    <w:p>
      <w:r>
        <w:t>Art. 4, ch. 4.1 et 4.4 Durée du travail</w:t>
      </w:r>
    </w:p>
    <w:p>
      <w:r>
        <w:t>Art. 5, ch. 5.2, 5.4 à 5.6 Heures supplémentaires, travail supplémentaire, travail de nuit et du dimanche</w:t>
      </w:r>
    </w:p>
    <w:p>
      <w:r>
        <w:t>Art. 6, ch. 6.6 et 6.8 Salaires</w:t>
      </w:r>
    </w:p>
    <w:p>
      <w:r>
        <w:t>Art. 12 Salaire en cas de maladie</w:t>
      </w:r>
    </w:p>
    <w:p>
      <w:r>
        <w:t>Art. 17, ch. 17.1 Frais de pension et de logement</w:t>
      </w:r>
    </w:p>
    <w:p>
      <w:r>
        <w:t>Art. 25, ch. 25.1 et 25.4 Résiliation en temps inopportun par l’entreprise</w:t>
      </w:r>
    </w:p>
    <w:p>
      <w:r>
        <w:t>Art. 36, ch. 36.2 à 36.4 Contribution aux frais d’exécution, de perfectionnement professionnel et d’entraide sociale III Les employeurs qui ont accordé à leurs travailleurs depuis le 1er janvier 2004 une augmentation de salaire générale, peuvent en tenir compte dans l’augmentation de salaire selon l’art. 6.6 de la convention collective de travail.</w:t>
      </w:r>
    </w:p>
    <w:p>
      <w:r>
        <w:t>1 FF 1999 2375–2376, 2002 1582, 2003 1043 2 Des tirés à part de l’extension peuvent être obtenus auprès de l’OFCL, Diffusion des publications, 3003 Berne.</w:t>
      </w:r>
    </w:p>
    <w:p>
      <w:r>
        <w:t>Convention collective de travail pour l’industrie du meuble. ACF 974 IV Le présent arrêté entre en vigueur le 1er avril 2004 et a effet jusqu’au 31 décembre 2005. 24 février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du meuble In Bundesblatt Dans Feuille fédérale In Foglio federale Jahr 2004 Année Anno Band 1 Volume Volume Heft 10 Cahier Numero Geschäftsnummer --- Numéro d'affaire Numero dell'oggetto Datum 16.03.2004 Date Data Seite 973-974 Page Pagina Ref. No 10 137 439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