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04-0164 467 vom 23. Juni 1999</w:t>
      </w:r>
    </w:p>
    <w:p>
      <w:r>
        <w:t>Bundesverwaltung, 1999-06-23, DE</w:t>
      </w:r>
    </w:p>
    <w:p>
      <w:r>
        <w:rPr>
          <w:b/>
        </w:rPr>
        <w:t xml:space="preserve">Quelle: </w:t>
      </w:r>
      <w:r>
        <w:t>https://mcp.opencaselaw.ch/entscheid/ch_vb_04-0164_467_</w:t>
      </w:r>
    </w:p>
    <w:p>
      <w:r>
        <w:t>FR: CH_VB 04-0164 467 du 23 juin 1999</w:t>
      </w:r>
    </w:p>
    <w:p>
      <w:r>
        <w:t>IT: CH_VB 04-0164 467 del 23 giugno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Caractéristiques du produit (pour tous les produits mentionnés) Substance(s) active(s): Kupfer (als Kalkpräparat) 20 % Formulation: WP</w:t>
      </w:r>
    </w:p>
    <w:p>
      <w:r>
        <w:rPr>
          <w:b/>
        </w:rPr>
        <w:t>E. 2</w:t>
      </w:r>
    </w:p>
    <w:p>
      <w:r>
        <w:t>Produits commerciaux Bouillie bordelaise Numéro d’homologation suisse: F-1609 Phyteurop pays d’origine: France</w:t>
      </w:r>
    </w:p>
    <w:p>
      <w:r>
        <w:t>numéro d’homologation étranger: 69 00376</w:t>
      </w:r>
    </w:p>
    <w:p>
      <w:r>
        <w:t>distributeur: SIPCAM-PHYTEUROP,</w:t>
      </w:r>
    </w:p>
    <w:p>
      <w:r>
        <w:t>Courcellor 2, 35, rue d’Alsace,</w:t>
      </w:r>
    </w:p>
    <w:p>
      <w:r>
        <w:t>92531 Levallois-Perret Cédex Bouillie bordelaise RSR Numéro d’homologation suisse: F-1606</w:t>
      </w:r>
    </w:p>
    <w:p>
      <w:r>
        <w:t>pays d’origine: France</w:t>
      </w:r>
    </w:p>
    <w:p>
      <w:r>
        <w:t>numéro d’homologation étranger: 62 00075</w:t>
      </w:r>
    </w:p>
    <w:p>
      <w:r>
        <w:t>distributeur: ELF ATOCHEM AGRI SA,</w:t>
      </w:r>
    </w:p>
    <w:p>
      <w:r>
        <w:t>1, rue des Frères-Lumière, BP 9, 78373 Plaisir Cédex Bouillie bordelaise Numéro d’homologation suisse: F-1608 Sédagri pays d’origine: France</w:t>
      </w:r>
    </w:p>
    <w:p>
      <w:r>
        <w:t>numéro d’homologation étranger: 70 00043</w:t>
      </w:r>
    </w:p>
    <w:p>
      <w:r>
        <w:t>distributeur: RHÔNE-POULENC LEADAGRO,</w:t>
      </w:r>
    </w:p>
    <w:p>
      <w:r>
        <w:t>55, avenue René Cassin, CP 31069337 LYON Cédex 09 Bouillie bordelaise Siapa Numéro d’homologation suisse: F-1604</w:t>
      </w:r>
    </w:p>
    <w:p>
      <w:r>
        <w:t>pays d’origine: France</w:t>
      </w:r>
    </w:p>
    <w:p>
      <w:r>
        <w:t>numéro d’homologation étranger: 97 00394</w:t>
      </w:r>
    </w:p>
    <w:p>
      <w:r>
        <w:t>distributeur: CAFFARO France,</w:t>
      </w:r>
    </w:p>
    <w:p>
      <w:r>
        <w:t>Parc de Haute Technologie Antony II,</w:t>
      </w:r>
    </w:p>
    <w:p>
      <w:r>
        <w:t>17, rue Georges Besse, 92160 Antony</w:t>
      </w:r>
    </w:p>
    <w:p>
      <w:r>
        <w:t>1 RS 916.161</w:t>
      </w:r>
    </w:p>
    <w:p>
      <w:r>
        <w:t>468 Bouillie bordelaise Numéro d’homologation suisse: F-1610 Tradi-agri pays d’origine: France</w:t>
      </w:r>
    </w:p>
    <w:p>
      <w:r>
        <w:t>numéro d’homologation étranger: 78 00586</w:t>
      </w:r>
    </w:p>
    <w:p>
      <w:r>
        <w:t>distributeur: TRADI-AGRI,</w:t>
      </w:r>
    </w:p>
    <w:p>
      <w:r>
        <w:t>38, avenue Hoche, 75008 PARIS Bouillie MOP 20 Numéro d’homologation suisse: F-1605</w:t>
      </w:r>
    </w:p>
    <w:p>
      <w:r>
        <w:t>pays d’origine: France</w:t>
      </w:r>
    </w:p>
    <w:p>
      <w:r>
        <w:t>numéro d’homologation étranger: 83 00286</w:t>
      </w:r>
    </w:p>
    <w:p>
      <w:r>
        <w:t>distributeur: CALLIOPE S.A., Route d’Artix,</w:t>
      </w:r>
    </w:p>
    <w:p>
      <w:r>
        <w:t>BP 80 64150 Noguères Cuprix 20 Numéro d’homologation suisse: F-1611</w:t>
      </w:r>
    </w:p>
    <w:p>
      <w:r>
        <w:t>pays d’origine: France</w:t>
      </w:r>
    </w:p>
    <w:p>
      <w:r>
        <w:t>numéro d’homologation étranger: 94 00034</w:t>
      </w:r>
    </w:p>
    <w:p>
      <w:r>
        <w:t>distributeur: VITAL (Manufacture des engrais),</w:t>
      </w:r>
    </w:p>
    <w:p>
      <w:r>
        <w:t>Route de Bédarrides, BP 12,</w:t>
      </w:r>
    </w:p>
    <w:p>
      <w:r>
        <w:t>84320 Entraigues-sur-Sorgue Fisons bouillie bordelaise Numéro d’homologation suisse: F-1607</w:t>
      </w:r>
    </w:p>
    <w:p>
      <w:r>
        <w:t>pays d’origine: France</w:t>
      </w:r>
    </w:p>
    <w:p>
      <w:r>
        <w:t>numéro d’homologation étranger: 79 00206</w:t>
      </w:r>
    </w:p>
    <w:p>
      <w:r>
        <w:t>distributeur: SCAC-FISONS SA, La Galboisière,</w:t>
      </w:r>
    </w:p>
    <w:p>
      <w:r>
        <w:t>37705 Saint-Pierre-des Corps Cédex Super bouillie Numéro d’homologation suisse: F-1603 Macclesfield 80 pays d’origine: France</w:t>
      </w:r>
    </w:p>
    <w:p>
      <w:r>
        <w:t>numéro d’homologation étranger: 75 00716</w:t>
      </w:r>
    </w:p>
    <w:p>
      <w:r>
        <w:t>distributeur: AGTROL INTERNATIONAL,</w:t>
      </w:r>
    </w:p>
    <w:p>
      <w:r>
        <w:t>85, quai de Brazza, BP 55, 33016 Bordeaux Cédex Applications autorisées: Domaine d’application Maladie / effets Mode d’application (*)</w:t>
      </w:r>
    </w:p>
    <w:p>
      <w:r>
        <w:t>Arboriculture</w:t>
      </w:r>
    </w:p>
    <w:p>
      <w:r>
        <w:t>Framboise, ronces Maladie des rameaux du framboisier maladie des rameaux des ronces Concentration: 0.5–1.3 % Application: avant la floraison et après la récolte 1</w:t>
      </w:r>
    </w:p>
    <w:p>
      <w:r>
        <w:t>Fraise Taches pourpres du fraisier Concentration: 0.25–0.75 % 1</w:t>
      </w:r>
    </w:p>
    <w:p>
      <w:r>
        <w:t>Application: avant la floraison et après la récolte</w:t>
      </w:r>
    </w:p>
    <w:p>
      <w:r>
        <w:t>Fruits à pépins Tavelure des arbres fruitiers Concentration: 0.25–0.5 % 1</w:t>
      </w:r>
    </w:p>
    <w:p>
      <w:r>
        <w:t>à pépins Application: au débourrement</w:t>
      </w:r>
    </w:p>
    <w:p>
      <w:r>
        <w:t>Concentration: 0.125–0.25 % 1</w:t>
      </w:r>
    </w:p>
    <w:p>
      <w:r>
        <w:t>Application: avant la floraison, en complément aux soufres mouillables</w:t>
      </w:r>
    </w:p>
    <w:p>
      <w:r>
        <w:t>Cerisier Chancre bactérien du cerisier Concentration: 0.5–0.75 % 1, 2</w:t>
      </w:r>
    </w:p>
    <w:p>
      <w:r>
        <w:t>Application: à la chute des feuilles</w:t>
      </w:r>
    </w:p>
    <w:p>
      <w:r>
        <w:t>469 Domaine d’application Maladie / effets Mode d’application (*)</w:t>
      </w:r>
    </w:p>
    <w:p>
      <w:r>
        <w:t>Espèces de Ribes Anthracnose des groseilliers Concentration: 0.25–0.75 % 1</w:t>
      </w:r>
    </w:p>
    <w:p>
      <w:r>
        <w:t>Application: aussitôt après la floraison et après la récolte</w:t>
      </w:r>
    </w:p>
    <w:p>
      <w:r>
        <w:t>Délai d’attente: 3 semaines</w:t>
      </w:r>
    </w:p>
    <w:p>
      <w:r>
        <w:t>Fruits à noyaux Cloque du pêcher, maladie des pochettes du prunier, maladie criblée des Prunus Concentration: 0.5–0.75 % Application: au débourre- ment 1 Viticulture</w:t>
      </w:r>
    </w:p>
    <w:p>
      <w:r>
        <w:t>Toutes les cultures Mildiou de la vigne Concentration: 0.75 % 1</w:t>
      </w:r>
    </w:p>
    <w:p>
      <w:r>
        <w:t>Application: dernier traitement à fin août au plus tard, en cas de forte attaque seulement</w:t>
      </w:r>
    </w:p>
    <w:p>
      <w:r>
        <w:t>Toutes les cultures Mildiou de la vigne Efficacité partielle: oïdium de la vigne, pourriture grise (Botrytis cinerea) Effet secondaire: rougeot parasitaire de la vigne Concentration: 0.25 % Application: en mélange avec des préparations contenant du folpet ou de la dichlofluanide 1, 3,</w:t>
      </w:r>
    </w:p>
    <w:p>
      <w:r>
        <w:rPr>
          <w:b/>
        </w:rPr>
        <w:t>E. 4</w:t>
      </w:r>
    </w:p>
    <w:p>
      <w:r>
        <w:t>= Après la floraison jusqu’à mi-août au plus tard</w:t>
      </w:r>
    </w:p>
    <w:p>
      <w:r>
        <w:t>470</w:t>
      </w:r>
    </w:p>
    <w:p>
      <w:r>
        <w:rPr>
          <w:b/>
        </w:rPr>
        <w:t>E. 5</w:t>
      </w:r>
    </w:p>
    <w:p>
      <w:r>
        <w:t>= Pour un mélange avec des fongicides organiques, la moitié de la concentration indiquée suffit.</w:t>
      </w:r>
    </w:p>
    <w:p>
      <w:r>
        <w:rPr>
          <w:b/>
        </w:rPr>
        <w:t>E. 6</w:t>
      </w:r>
    </w:p>
    <w:p>
      <w:r>
        <w:t>= Attention à la phytotoxicité !</w:t>
      </w:r>
    </w:p>
    <w:p>
      <w:r>
        <w:rPr>
          <w:b/>
        </w:rPr>
        <w:t>E. 7</w:t>
      </w:r>
    </w:p>
    <w:p>
      <w:r>
        <w:t>= Uniquement pour la culture de jeunes plants</w:t>
      </w:r>
    </w:p>
    <w:p>
      <w:r>
        <w:rPr>
          <w:b/>
        </w:rPr>
        <w:t>E. 8</w:t>
      </w:r>
    </w:p>
    <w:p>
      <w:r>
        <w:t>= 2 traitements au maximum par culture et par année</w:t>
      </w:r>
    </w:p>
    <w:p>
      <w:r>
        <w:rPr>
          <w:b/>
        </w:rPr>
        <w:t>E. 9</w:t>
      </w:r>
    </w:p>
    <w:p>
      <w:r>
        <w:t>= Pulvérisations à 7–10 jours d’intervalle avec d’autres fongicides de contact</w:t>
      </w:r>
    </w:p>
    <w:p>
      <w:r>
        <w:rPr>
          <w:b/>
        </w:rPr>
        <w:t>E. 10</w:t>
      </w:r>
    </w:p>
    <w:p>
      <w:r>
        <w:t>137 370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